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70C718CE" w:rsidR="0066434B" w:rsidRPr="00214458" w:rsidRDefault="0066434B" w:rsidP="00513BAC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7D392F">
        <w:rPr>
          <w:rFonts w:ascii="Arial" w:hAnsi="Arial" w:cs="Arial"/>
          <w:b/>
          <w:bCs/>
          <w:sz w:val="22"/>
        </w:rPr>
        <w:t>80</w:t>
      </w:r>
      <w:r w:rsidR="00214458">
        <w:rPr>
          <w:rFonts w:ascii="Arial" w:hAnsi="Arial" w:cs="Arial"/>
          <w:b/>
          <w:bCs/>
          <w:sz w:val="22"/>
        </w:rPr>
        <w:t xml:space="preserve">                            </w:t>
      </w:r>
      <w:r w:rsidRPr="00214458">
        <w:rPr>
          <w:rFonts w:ascii="Arial" w:hAnsi="Arial" w:cs="Arial"/>
          <w:b/>
          <w:bCs/>
          <w:sz w:val="22"/>
        </w:rPr>
        <w:tab/>
      </w:r>
      <w:r w:rsidR="00214458">
        <w:rPr>
          <w:rFonts w:ascii="Arial" w:hAnsi="Arial" w:cs="Arial"/>
          <w:b/>
          <w:bCs/>
          <w:sz w:val="22"/>
        </w:rPr>
        <w:t xml:space="preserve">            </w:t>
      </w:r>
      <w:r w:rsidR="00E56774">
        <w:rPr>
          <w:rFonts w:ascii="Arial" w:hAnsi="Arial" w:cs="Arial"/>
          <w:b/>
          <w:bCs/>
          <w:sz w:val="22"/>
        </w:rPr>
        <w:t xml:space="preserve">  R</w:t>
      </w:r>
      <w:r w:rsidR="00513BAC">
        <w:rPr>
          <w:rFonts w:ascii="Arial" w:hAnsi="Arial" w:cs="Arial"/>
          <w:b/>
          <w:bCs/>
          <w:sz w:val="22"/>
        </w:rPr>
        <w:t>P</w:t>
      </w:r>
      <w:r w:rsidR="00E56774">
        <w:rPr>
          <w:rFonts w:ascii="Arial" w:hAnsi="Arial" w:cs="Arial"/>
          <w:b/>
          <w:bCs/>
          <w:sz w:val="22"/>
        </w:rPr>
        <w:t>-1</w:t>
      </w:r>
      <w:r w:rsidR="007D392F">
        <w:rPr>
          <w:rFonts w:ascii="Arial" w:hAnsi="Arial" w:cs="Arial"/>
          <w:b/>
          <w:bCs/>
          <w:sz w:val="22"/>
        </w:rPr>
        <w:t>806</w:t>
      </w:r>
      <w:r w:rsidR="00E61E68">
        <w:rPr>
          <w:rFonts w:ascii="Arial" w:hAnsi="Arial" w:cs="Arial"/>
          <w:b/>
          <w:bCs/>
          <w:sz w:val="22"/>
        </w:rPr>
        <w:t>80</w:t>
      </w:r>
    </w:p>
    <w:p w14:paraId="0351D878" w14:textId="0BC3FF38" w:rsidR="0066434B" w:rsidRPr="00D35A73" w:rsidRDefault="00513BAC" w:rsidP="00513BAC">
      <w:pPr>
        <w:tabs>
          <w:tab w:val="center" w:pos="4536"/>
          <w:tab w:val="right" w:pos="9422"/>
        </w:tabs>
        <w:spacing w:after="0"/>
        <w:rPr>
          <w:rFonts w:ascii="Arial" w:eastAsia="MS Mincho" w:hAnsi="Arial" w:cs="Arial"/>
          <w:b/>
          <w:bCs/>
          <w:i/>
        </w:rPr>
      </w:pPr>
      <w:r>
        <w:rPr>
          <w:rFonts w:ascii="Arial" w:eastAsia="MS Mincho" w:hAnsi="Arial" w:cs="Arial"/>
          <w:b/>
          <w:bCs/>
          <w:sz w:val="22"/>
        </w:rPr>
        <w:t>L</w:t>
      </w:r>
      <w:r w:rsidR="007D392F">
        <w:rPr>
          <w:rFonts w:ascii="Arial" w:eastAsia="MS Mincho" w:hAnsi="Arial" w:cs="Arial"/>
          <w:b/>
          <w:bCs/>
          <w:sz w:val="22"/>
        </w:rPr>
        <w:t>a Jolla</w:t>
      </w:r>
      <w:r w:rsidR="000522F3">
        <w:rPr>
          <w:rFonts w:ascii="Arial" w:eastAsia="MS Mincho" w:hAnsi="Arial" w:cs="Arial"/>
          <w:b/>
          <w:bCs/>
          <w:sz w:val="22"/>
        </w:rPr>
        <w:t xml:space="preserve">, </w:t>
      </w:r>
      <w:r w:rsidR="007D392F">
        <w:rPr>
          <w:rFonts w:ascii="Arial" w:eastAsia="MS Mincho" w:hAnsi="Arial" w:cs="Arial"/>
          <w:b/>
          <w:bCs/>
          <w:sz w:val="22"/>
        </w:rPr>
        <w:t>CA, U.S.A.</w:t>
      </w:r>
      <w:r w:rsidR="001E08A2">
        <w:rPr>
          <w:rFonts w:ascii="Arial" w:eastAsia="MS Mincho" w:hAnsi="Arial" w:cs="Arial"/>
          <w:b/>
          <w:bCs/>
          <w:sz w:val="22"/>
        </w:rPr>
        <w:t xml:space="preserve">, </w:t>
      </w:r>
      <w:r w:rsidR="007D392F">
        <w:rPr>
          <w:rFonts w:ascii="Arial" w:hAnsi="Arial" w:cs="Arial"/>
          <w:b/>
          <w:bCs/>
          <w:sz w:val="22"/>
        </w:rPr>
        <w:t>June</w:t>
      </w:r>
      <w:r w:rsidR="001E08A2">
        <w:rPr>
          <w:rFonts w:ascii="Arial" w:hAnsi="Arial" w:cs="Arial"/>
          <w:b/>
          <w:bCs/>
          <w:sz w:val="22"/>
        </w:rPr>
        <w:t xml:space="preserve"> </w:t>
      </w:r>
      <w:r w:rsidR="007D392F">
        <w:rPr>
          <w:rFonts w:ascii="Arial" w:hAnsi="Arial" w:cs="Arial"/>
          <w:b/>
          <w:bCs/>
          <w:sz w:val="22"/>
        </w:rPr>
        <w:t>1</w:t>
      </w:r>
      <w:r w:rsidR="001E08A2">
        <w:rPr>
          <w:rFonts w:ascii="Arial" w:hAnsi="Arial" w:cs="Arial"/>
          <w:b/>
          <w:bCs/>
          <w:sz w:val="22"/>
        </w:rPr>
        <w:t>1</w:t>
      </w:r>
      <w:r w:rsidR="00724625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</w:rPr>
        <w:t>-</w:t>
      </w:r>
      <w:r w:rsidR="007D392F">
        <w:rPr>
          <w:rFonts w:ascii="Arial" w:hAnsi="Arial" w:cs="Arial"/>
          <w:b/>
          <w:bCs/>
          <w:sz w:val="22"/>
        </w:rPr>
        <w:t>14</w:t>
      </w:r>
      <w:r w:rsidR="001E08A2" w:rsidRPr="001E08A2">
        <w:rPr>
          <w:rFonts w:ascii="Arial" w:hAnsi="Arial" w:cs="Arial"/>
          <w:b/>
          <w:bCs/>
          <w:sz w:val="22"/>
          <w:vertAlign w:val="superscript"/>
        </w:rPr>
        <w:t>t</w:t>
      </w:r>
      <w:r w:rsidR="00724625">
        <w:rPr>
          <w:rFonts w:ascii="Arial" w:hAnsi="Arial" w:cs="Arial"/>
          <w:b/>
          <w:bCs/>
          <w:sz w:val="22"/>
          <w:vertAlign w:val="superscript"/>
        </w:rPr>
        <w:t>h</w:t>
      </w:r>
      <w:r>
        <w:rPr>
          <w:rFonts w:ascii="Arial" w:hAnsi="Arial" w:cs="Arial"/>
          <w:b/>
          <w:bCs/>
          <w:sz w:val="22"/>
        </w:rPr>
        <w:t xml:space="preserve">, </w:t>
      </w:r>
      <w:r w:rsidR="0066434B" w:rsidRPr="00214458">
        <w:rPr>
          <w:rFonts w:ascii="Arial" w:hAnsi="Arial" w:cs="Arial"/>
          <w:b/>
          <w:bCs/>
          <w:sz w:val="22"/>
        </w:rPr>
        <w:t>201</w:t>
      </w:r>
      <w:r w:rsidR="007D392F">
        <w:rPr>
          <w:rFonts w:ascii="Arial" w:eastAsia="MS Mincho" w:hAnsi="Arial" w:cs="Arial"/>
          <w:b/>
          <w:bCs/>
          <w:sz w:val="22"/>
        </w:rPr>
        <w:t>8</w:t>
      </w:r>
      <w:r w:rsidR="00D35A73">
        <w:rPr>
          <w:rFonts w:ascii="Arial" w:eastAsia="MS Mincho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2400BDB2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513BAC">
        <w:rPr>
          <w:rFonts w:ascii="Arial" w:hAnsi="Arial"/>
          <w:sz w:val="22"/>
        </w:rPr>
        <w:t>9.</w:t>
      </w:r>
      <w:r w:rsidR="00E61E68">
        <w:rPr>
          <w:rFonts w:ascii="Arial" w:hAnsi="Arial"/>
          <w:sz w:val="22"/>
        </w:rPr>
        <w:t>3.1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68A1B6BE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E61E68" w:rsidRPr="00E61E68">
        <w:rPr>
          <w:rFonts w:ascii="Arial" w:hAnsi="Arial"/>
          <w:sz w:val="22"/>
        </w:rPr>
        <w:t>Solutions for single Tx TDM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79BB1B49" w14:textId="6E78452F" w:rsidR="00111D48" w:rsidRPr="00082D56" w:rsidRDefault="008C233A" w:rsidP="003B3667">
      <w:pPr>
        <w:pStyle w:val="Heading1"/>
        <w:rPr>
          <w:lang w:eastAsia="zh-CN"/>
        </w:rPr>
      </w:pPr>
      <w:r>
        <w:t>Introduction</w:t>
      </w:r>
    </w:p>
    <w:p w14:paraId="28A8605A" w14:textId="05FCF4F5" w:rsidR="00A6731F" w:rsidRDefault="003D23CF" w:rsidP="00E61E68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At </w:t>
      </w:r>
      <w:r w:rsidR="00DE1AB8">
        <w:rPr>
          <w:rFonts w:eastAsia="MS Mincho"/>
          <w:lang w:val="en-US"/>
        </w:rPr>
        <w:t>RAN1</w:t>
      </w:r>
      <w:r w:rsidR="00445F9C">
        <w:rPr>
          <w:rFonts w:eastAsia="MS Mincho"/>
          <w:lang w:val="en-US"/>
        </w:rPr>
        <w:t xml:space="preserve"> #93</w:t>
      </w:r>
      <w:r w:rsidR="00DE1AB8">
        <w:rPr>
          <w:rFonts w:eastAsia="MS Mincho"/>
          <w:lang w:val="en-US"/>
        </w:rPr>
        <w:t xml:space="preserve">, </w:t>
      </w:r>
      <w:r w:rsidR="00E61E68">
        <w:rPr>
          <w:rFonts w:eastAsia="MS Mincho"/>
          <w:lang w:val="en-US"/>
        </w:rPr>
        <w:t xml:space="preserve">proposals were discussed on introducing a new single Tx TDM mode for EN-DC with TDD </w:t>
      </w:r>
      <w:proofErr w:type="spellStart"/>
      <w:r w:rsidR="00E61E68">
        <w:rPr>
          <w:rFonts w:eastAsia="MS Mincho"/>
          <w:lang w:val="en-US"/>
        </w:rPr>
        <w:t>PCell</w:t>
      </w:r>
      <w:proofErr w:type="spellEnd"/>
      <w:r w:rsidR="008654FE">
        <w:rPr>
          <w:rFonts w:eastAsia="MS Mincho"/>
          <w:lang w:val="en-US"/>
        </w:rPr>
        <w:t xml:space="preserve"> [2][3]</w:t>
      </w:r>
      <w:r w:rsidR="00E61E68">
        <w:rPr>
          <w:rFonts w:eastAsia="MS Mincho"/>
          <w:lang w:val="en-US"/>
        </w:rPr>
        <w:t xml:space="preserve">, even though just one meeting </w:t>
      </w:r>
      <w:r w:rsidR="002A0B27">
        <w:rPr>
          <w:rFonts w:eastAsia="MS Mincho"/>
          <w:lang w:val="en-US"/>
        </w:rPr>
        <w:t>earlier</w:t>
      </w:r>
      <w:r w:rsidR="00E61E68">
        <w:rPr>
          <w:rFonts w:eastAsia="MS Mincho"/>
          <w:lang w:val="en-US"/>
        </w:rPr>
        <w:t>, it was agreed not to introduce such feature in Rel-15.</w:t>
      </w:r>
    </w:p>
    <w:p w14:paraId="6CC73324" w14:textId="1362916C" w:rsidR="00E61E68" w:rsidRDefault="00E61E68" w:rsidP="00E61E68">
      <w:pPr>
        <w:spacing w:after="0"/>
        <w:jc w:val="both"/>
        <w:rPr>
          <w:lang w:val="en-US"/>
        </w:rPr>
      </w:pPr>
      <w:r>
        <w:rPr>
          <w:lang w:val="en-US"/>
        </w:rPr>
        <w:t xml:space="preserve">In this contribution, we discuss the possible resolution </w:t>
      </w:r>
      <w:r w:rsidR="008654FE">
        <w:rPr>
          <w:lang w:val="en-US"/>
        </w:rPr>
        <w:t>to</w:t>
      </w:r>
      <w:r>
        <w:rPr>
          <w:lang w:val="en-US"/>
        </w:rPr>
        <w:t xml:space="preserve"> the new proposals. </w:t>
      </w:r>
    </w:p>
    <w:p w14:paraId="5553CB5D" w14:textId="77777777" w:rsidR="003D23CF" w:rsidRDefault="003D23CF" w:rsidP="00A07C4D">
      <w:pPr>
        <w:spacing w:after="0"/>
        <w:jc w:val="both"/>
        <w:rPr>
          <w:rFonts w:eastAsia="MS Mincho"/>
          <w:lang w:val="en-US"/>
        </w:rPr>
      </w:pPr>
    </w:p>
    <w:p w14:paraId="65DBA096" w14:textId="1282626C" w:rsidR="008C233A" w:rsidRPr="008C233A" w:rsidRDefault="008C233A" w:rsidP="00A07C4D">
      <w:pPr>
        <w:pStyle w:val="Heading1"/>
        <w:jc w:val="both"/>
        <w:rPr>
          <w:lang w:eastAsia="zh-CN"/>
        </w:rPr>
      </w:pPr>
      <w:r>
        <w:t>Discussion</w:t>
      </w:r>
      <w:r w:rsidRPr="008C233A">
        <w:rPr>
          <w:rFonts w:eastAsia="MS Mincho"/>
          <w:lang w:val="en-US"/>
        </w:rPr>
        <w:t xml:space="preserve">  </w:t>
      </w:r>
    </w:p>
    <w:p w14:paraId="79C11FBD" w14:textId="1D9D0236" w:rsidR="00C70734" w:rsidRDefault="00C537A6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proposal in [3] was the following: </w:t>
      </w:r>
    </w:p>
    <w:p w14:paraId="2B6A8B17" w14:textId="77777777" w:rsidR="00C537A6" w:rsidRDefault="00C537A6" w:rsidP="00CF3C3C">
      <w:pPr>
        <w:spacing w:after="0"/>
        <w:jc w:val="both"/>
        <w:rPr>
          <w:rFonts w:eastAsia="MS Mincho"/>
          <w:lang w:val="en-US"/>
        </w:rPr>
      </w:pPr>
    </w:p>
    <w:p w14:paraId="306802C6" w14:textId="77777777" w:rsidR="00636670" w:rsidRPr="00C537A6" w:rsidRDefault="000817FD" w:rsidP="00C537A6">
      <w:pPr>
        <w:numPr>
          <w:ilvl w:val="0"/>
          <w:numId w:val="41"/>
        </w:numPr>
        <w:spacing w:after="0"/>
        <w:jc w:val="both"/>
        <w:rPr>
          <w:rFonts w:ascii="Courier New" w:eastAsia="MS Mincho" w:hAnsi="Courier New" w:cs="Courier New"/>
          <w:sz w:val="18"/>
          <w:lang w:val="en-US"/>
        </w:rPr>
      </w:pPr>
      <w:r w:rsidRPr="00C537A6">
        <w:rPr>
          <w:rFonts w:ascii="Courier New" w:eastAsia="MS Mincho" w:hAnsi="Courier New" w:cs="Courier New"/>
          <w:sz w:val="18"/>
        </w:rPr>
        <w:t xml:space="preserve">For single UL operation in EN-DC with LTE TDD </w:t>
      </w:r>
      <w:proofErr w:type="spellStart"/>
      <w:r w:rsidRPr="00C537A6">
        <w:rPr>
          <w:rFonts w:ascii="Courier New" w:eastAsia="MS Mincho" w:hAnsi="Courier New" w:cs="Courier New"/>
          <w:sz w:val="18"/>
        </w:rPr>
        <w:t>PCell</w:t>
      </w:r>
      <w:proofErr w:type="spellEnd"/>
      <w:r w:rsidRPr="00C537A6">
        <w:rPr>
          <w:rFonts w:ascii="Courier New" w:eastAsia="MS Mincho" w:hAnsi="Courier New" w:cs="Courier New"/>
          <w:sz w:val="18"/>
        </w:rPr>
        <w:t>, where UE operates on only one carrier at a time</w:t>
      </w:r>
    </w:p>
    <w:p w14:paraId="213F26E5" w14:textId="77777777" w:rsidR="00636670" w:rsidRPr="00C537A6" w:rsidRDefault="000817FD" w:rsidP="00C537A6">
      <w:pPr>
        <w:numPr>
          <w:ilvl w:val="1"/>
          <w:numId w:val="41"/>
        </w:numPr>
        <w:spacing w:after="0"/>
        <w:jc w:val="both"/>
        <w:rPr>
          <w:rFonts w:ascii="Courier New" w:eastAsia="MS Mincho" w:hAnsi="Courier New" w:cs="Courier New"/>
          <w:sz w:val="18"/>
          <w:lang w:val="en-US"/>
        </w:rPr>
      </w:pPr>
      <w:r w:rsidRPr="00C537A6">
        <w:rPr>
          <w:rFonts w:ascii="Courier New" w:eastAsia="MS Mincho" w:hAnsi="Courier New" w:cs="Courier New"/>
          <w:sz w:val="18"/>
          <w:lang w:val="en-US"/>
        </w:rPr>
        <w:t xml:space="preserve">for LTE carrier, UE can be configured with </w:t>
      </w:r>
    </w:p>
    <w:p w14:paraId="0EC3E52E" w14:textId="77777777" w:rsidR="00636670" w:rsidRPr="00C537A6" w:rsidRDefault="000817FD" w:rsidP="00C537A6">
      <w:pPr>
        <w:numPr>
          <w:ilvl w:val="2"/>
          <w:numId w:val="41"/>
        </w:numPr>
        <w:spacing w:after="0"/>
        <w:jc w:val="both"/>
        <w:rPr>
          <w:rFonts w:ascii="Courier New" w:eastAsia="MS Mincho" w:hAnsi="Courier New" w:cs="Courier New"/>
          <w:sz w:val="18"/>
          <w:lang w:val="en-US"/>
        </w:rPr>
      </w:pPr>
      <w:r w:rsidRPr="00C537A6">
        <w:rPr>
          <w:rFonts w:ascii="Courier New" w:eastAsia="MS Mincho" w:hAnsi="Courier New" w:cs="Courier New"/>
          <w:sz w:val="18"/>
          <w:lang w:val="en-US"/>
        </w:rPr>
        <w:t>Case 1: DL-reference UL/DL configuration defined for LTE-FDD-</w:t>
      </w:r>
      <w:proofErr w:type="spellStart"/>
      <w:r w:rsidRPr="00C537A6">
        <w:rPr>
          <w:rFonts w:ascii="Courier New" w:eastAsia="MS Mincho" w:hAnsi="Courier New" w:cs="Courier New"/>
          <w:sz w:val="18"/>
          <w:lang w:val="en-US"/>
        </w:rPr>
        <w:t>SCell</w:t>
      </w:r>
      <w:proofErr w:type="spellEnd"/>
      <w:r w:rsidRPr="00C537A6">
        <w:rPr>
          <w:rFonts w:ascii="Courier New" w:eastAsia="MS Mincho" w:hAnsi="Courier New" w:cs="Courier New"/>
          <w:sz w:val="18"/>
          <w:lang w:val="en-US"/>
        </w:rPr>
        <w:t xml:space="preserve"> in LTE-TDD-FDD CA with LTE-TDD-</w:t>
      </w:r>
      <w:proofErr w:type="spellStart"/>
      <w:r w:rsidRPr="00C537A6">
        <w:rPr>
          <w:rFonts w:ascii="Courier New" w:eastAsia="MS Mincho" w:hAnsi="Courier New" w:cs="Courier New"/>
          <w:sz w:val="18"/>
          <w:lang w:val="en-US"/>
        </w:rPr>
        <w:t>PCell</w:t>
      </w:r>
      <w:proofErr w:type="spellEnd"/>
      <w:r w:rsidRPr="00C537A6">
        <w:rPr>
          <w:rFonts w:ascii="Courier New" w:eastAsia="MS Mincho" w:hAnsi="Courier New" w:cs="Courier New"/>
          <w:sz w:val="18"/>
          <w:lang w:val="en-US"/>
        </w:rPr>
        <w:t xml:space="preserve"> </w:t>
      </w:r>
    </w:p>
    <w:p w14:paraId="0C3BBBDA" w14:textId="77777777" w:rsidR="00636670" w:rsidRPr="00C537A6" w:rsidRDefault="000817FD" w:rsidP="00C537A6">
      <w:pPr>
        <w:numPr>
          <w:ilvl w:val="3"/>
          <w:numId w:val="41"/>
        </w:numPr>
        <w:spacing w:after="0"/>
        <w:jc w:val="both"/>
        <w:rPr>
          <w:rFonts w:ascii="Courier New" w:eastAsia="MS Mincho" w:hAnsi="Courier New" w:cs="Courier New"/>
          <w:sz w:val="18"/>
          <w:lang w:val="en-US"/>
        </w:rPr>
      </w:pPr>
      <w:r w:rsidRPr="00C537A6">
        <w:rPr>
          <w:rFonts w:ascii="Courier New" w:eastAsia="MS Mincho" w:hAnsi="Courier New" w:cs="Courier New"/>
          <w:sz w:val="18"/>
        </w:rPr>
        <w:t>For DL HARQ timing, the DL-reference UL/DL configuration, i.e. “</w:t>
      </w:r>
      <w:r w:rsidRPr="00C537A6">
        <w:rPr>
          <w:rFonts w:ascii="Courier New" w:eastAsia="MS Mincho" w:hAnsi="Courier New" w:cs="Courier New"/>
          <w:i/>
          <w:iCs/>
          <w:sz w:val="18"/>
        </w:rPr>
        <w:t>subframeAssignment-r15”</w:t>
      </w:r>
      <w:r w:rsidRPr="00C537A6">
        <w:rPr>
          <w:rFonts w:ascii="Courier New" w:eastAsia="MS Mincho" w:hAnsi="Courier New" w:cs="Courier New"/>
          <w:sz w:val="18"/>
        </w:rPr>
        <w:t>, is applied</w:t>
      </w:r>
    </w:p>
    <w:p w14:paraId="6AA25F21" w14:textId="77777777" w:rsidR="00636670" w:rsidRPr="00C537A6" w:rsidRDefault="000817FD" w:rsidP="00C537A6">
      <w:pPr>
        <w:numPr>
          <w:ilvl w:val="3"/>
          <w:numId w:val="41"/>
        </w:numPr>
        <w:spacing w:after="0"/>
        <w:jc w:val="both"/>
        <w:rPr>
          <w:rFonts w:ascii="Courier New" w:eastAsia="MS Mincho" w:hAnsi="Courier New" w:cs="Courier New"/>
          <w:sz w:val="18"/>
          <w:lang w:val="en-US"/>
        </w:rPr>
      </w:pPr>
      <w:r w:rsidRPr="00C537A6">
        <w:rPr>
          <w:rFonts w:ascii="Courier New" w:eastAsia="MS Mincho" w:hAnsi="Courier New" w:cs="Courier New"/>
          <w:sz w:val="18"/>
        </w:rPr>
        <w:t xml:space="preserve">For UL HARQ timing, the </w:t>
      </w:r>
      <w:proofErr w:type="spellStart"/>
      <w:r w:rsidRPr="00C537A6">
        <w:rPr>
          <w:rFonts w:ascii="Courier New" w:eastAsia="MS Mincho" w:hAnsi="Courier New" w:cs="Courier New"/>
          <w:sz w:val="18"/>
        </w:rPr>
        <w:t>PCell’s</w:t>
      </w:r>
      <w:proofErr w:type="spellEnd"/>
      <w:r w:rsidRPr="00C537A6">
        <w:rPr>
          <w:rFonts w:ascii="Courier New" w:eastAsia="MS Mincho" w:hAnsi="Courier New" w:cs="Courier New"/>
          <w:sz w:val="18"/>
        </w:rPr>
        <w:t xml:space="preserve"> UL/DL configuration, i.e. “</w:t>
      </w:r>
      <w:proofErr w:type="spellStart"/>
      <w:r w:rsidRPr="00C537A6">
        <w:rPr>
          <w:rFonts w:ascii="Courier New" w:eastAsia="MS Mincho" w:hAnsi="Courier New" w:cs="Courier New"/>
          <w:i/>
          <w:iCs/>
          <w:sz w:val="18"/>
          <w:lang w:val="en-US"/>
        </w:rPr>
        <w:t>subframeAssignment</w:t>
      </w:r>
      <w:proofErr w:type="spellEnd"/>
      <w:r w:rsidRPr="00C537A6">
        <w:rPr>
          <w:rFonts w:ascii="Courier New" w:eastAsia="MS Mincho" w:hAnsi="Courier New" w:cs="Courier New"/>
          <w:i/>
          <w:iCs/>
          <w:sz w:val="18"/>
          <w:lang w:val="en-US"/>
        </w:rPr>
        <w:t>”</w:t>
      </w:r>
      <w:r w:rsidRPr="00C537A6">
        <w:rPr>
          <w:rFonts w:ascii="Courier New" w:eastAsia="MS Mincho" w:hAnsi="Courier New" w:cs="Courier New"/>
          <w:sz w:val="18"/>
        </w:rPr>
        <w:t>, is applied</w:t>
      </w:r>
    </w:p>
    <w:p w14:paraId="72285305" w14:textId="77777777" w:rsidR="00636670" w:rsidRPr="00C537A6" w:rsidRDefault="000817FD" w:rsidP="00C537A6">
      <w:pPr>
        <w:numPr>
          <w:ilvl w:val="3"/>
          <w:numId w:val="41"/>
        </w:numPr>
        <w:spacing w:after="0"/>
        <w:jc w:val="both"/>
        <w:rPr>
          <w:rFonts w:ascii="Courier New" w:eastAsia="MS Mincho" w:hAnsi="Courier New" w:cs="Courier New"/>
          <w:sz w:val="18"/>
          <w:lang w:val="en-US"/>
        </w:rPr>
      </w:pPr>
      <w:r w:rsidRPr="00C537A6">
        <w:rPr>
          <w:rFonts w:ascii="Courier New" w:eastAsia="MS Mincho" w:hAnsi="Courier New" w:cs="Courier New"/>
          <w:sz w:val="18"/>
          <w:lang w:val="en-US"/>
        </w:rPr>
        <w:t xml:space="preserve">For UE capable of dynamic power sharing, LTE UL transmission can be scheduled in all UL subframes and </w:t>
      </w:r>
      <w:proofErr w:type="spellStart"/>
      <w:r w:rsidRPr="00C537A6">
        <w:rPr>
          <w:rFonts w:ascii="Courier New" w:eastAsia="MS Mincho" w:hAnsi="Courier New" w:cs="Courier New"/>
          <w:sz w:val="18"/>
          <w:lang w:val="en-US"/>
        </w:rPr>
        <w:t>UpPTS</w:t>
      </w:r>
      <w:proofErr w:type="spellEnd"/>
      <w:r w:rsidRPr="00C537A6">
        <w:rPr>
          <w:rFonts w:ascii="Courier New" w:eastAsia="MS Mincho" w:hAnsi="Courier New" w:cs="Courier New"/>
          <w:sz w:val="18"/>
          <w:lang w:val="en-US"/>
        </w:rPr>
        <w:t xml:space="preserve"> configured by “</w:t>
      </w:r>
      <w:proofErr w:type="spellStart"/>
      <w:r w:rsidRPr="00C537A6">
        <w:rPr>
          <w:rFonts w:ascii="Courier New" w:eastAsia="MS Mincho" w:hAnsi="Courier New" w:cs="Courier New"/>
          <w:i/>
          <w:iCs/>
          <w:sz w:val="18"/>
          <w:lang w:val="en-US"/>
        </w:rPr>
        <w:t>subframeAssignment</w:t>
      </w:r>
      <w:proofErr w:type="spellEnd"/>
      <w:r w:rsidRPr="00C537A6">
        <w:rPr>
          <w:rFonts w:ascii="Courier New" w:eastAsia="MS Mincho" w:hAnsi="Courier New" w:cs="Courier New"/>
          <w:sz w:val="18"/>
          <w:lang w:val="en-US"/>
        </w:rPr>
        <w:t>”</w:t>
      </w:r>
    </w:p>
    <w:p w14:paraId="1005E573" w14:textId="77777777" w:rsidR="00636670" w:rsidRPr="00C537A6" w:rsidRDefault="000817FD" w:rsidP="00C537A6">
      <w:pPr>
        <w:numPr>
          <w:ilvl w:val="3"/>
          <w:numId w:val="41"/>
        </w:numPr>
        <w:spacing w:after="0"/>
        <w:jc w:val="both"/>
        <w:rPr>
          <w:rFonts w:ascii="Courier New" w:eastAsia="MS Mincho" w:hAnsi="Courier New" w:cs="Courier New"/>
          <w:sz w:val="18"/>
          <w:lang w:val="en-US"/>
        </w:rPr>
      </w:pPr>
      <w:r w:rsidRPr="00C537A6">
        <w:rPr>
          <w:rFonts w:ascii="Courier New" w:eastAsia="MS Mincho" w:hAnsi="Courier New" w:cs="Courier New"/>
          <w:sz w:val="18"/>
          <w:lang w:val="en-US"/>
        </w:rPr>
        <w:t>UE is not expected to transmit on the MCG and SCG simultaneously</w:t>
      </w:r>
    </w:p>
    <w:p w14:paraId="4D401F5A" w14:textId="77777777" w:rsidR="00636670" w:rsidRPr="00C537A6" w:rsidRDefault="000817FD" w:rsidP="00C537A6">
      <w:pPr>
        <w:numPr>
          <w:ilvl w:val="2"/>
          <w:numId w:val="41"/>
        </w:numPr>
        <w:spacing w:after="0"/>
        <w:jc w:val="both"/>
        <w:rPr>
          <w:rFonts w:ascii="Courier New" w:eastAsia="MS Mincho" w:hAnsi="Courier New" w:cs="Courier New"/>
          <w:sz w:val="18"/>
          <w:lang w:val="en-US"/>
        </w:rPr>
      </w:pPr>
      <w:r w:rsidRPr="00C537A6">
        <w:rPr>
          <w:rFonts w:ascii="Courier New" w:eastAsia="MS Mincho" w:hAnsi="Courier New" w:cs="Courier New"/>
          <w:sz w:val="18"/>
          <w:lang w:val="en-US"/>
        </w:rPr>
        <w:t xml:space="preserve">Case 2: uses Release 15 LTE-TDD HARQ timing </w:t>
      </w:r>
    </w:p>
    <w:p w14:paraId="2FFFB0D7" w14:textId="77777777" w:rsidR="00636670" w:rsidRPr="00C537A6" w:rsidRDefault="000817FD" w:rsidP="00C537A6">
      <w:pPr>
        <w:numPr>
          <w:ilvl w:val="3"/>
          <w:numId w:val="41"/>
        </w:numPr>
        <w:spacing w:after="0"/>
        <w:jc w:val="both"/>
        <w:rPr>
          <w:rFonts w:ascii="Courier New" w:eastAsia="MS Mincho" w:hAnsi="Courier New" w:cs="Courier New"/>
          <w:sz w:val="18"/>
          <w:lang w:val="en-US"/>
        </w:rPr>
      </w:pPr>
      <w:r w:rsidRPr="00C537A6">
        <w:rPr>
          <w:rFonts w:ascii="Courier New" w:eastAsia="MS Mincho" w:hAnsi="Courier New" w:cs="Courier New"/>
          <w:sz w:val="18"/>
        </w:rPr>
        <w:t xml:space="preserve">For DL HARQ timing, the </w:t>
      </w:r>
      <w:proofErr w:type="spellStart"/>
      <w:r w:rsidRPr="00C537A6">
        <w:rPr>
          <w:rFonts w:ascii="Courier New" w:eastAsia="MS Mincho" w:hAnsi="Courier New" w:cs="Courier New"/>
          <w:sz w:val="18"/>
        </w:rPr>
        <w:t>PCell’s</w:t>
      </w:r>
      <w:proofErr w:type="spellEnd"/>
      <w:r w:rsidRPr="00C537A6">
        <w:rPr>
          <w:rFonts w:ascii="Courier New" w:eastAsia="MS Mincho" w:hAnsi="Courier New" w:cs="Courier New"/>
          <w:sz w:val="18"/>
        </w:rPr>
        <w:t xml:space="preserve"> UL/DL configuration, i.e. “</w:t>
      </w:r>
      <w:proofErr w:type="spellStart"/>
      <w:r w:rsidRPr="00C537A6">
        <w:rPr>
          <w:rFonts w:ascii="Courier New" w:eastAsia="MS Mincho" w:hAnsi="Courier New" w:cs="Courier New"/>
          <w:i/>
          <w:iCs/>
          <w:sz w:val="18"/>
          <w:lang w:val="en-US"/>
        </w:rPr>
        <w:t>subframeAssignment</w:t>
      </w:r>
      <w:proofErr w:type="spellEnd"/>
      <w:r w:rsidRPr="00C537A6">
        <w:rPr>
          <w:rFonts w:ascii="Courier New" w:eastAsia="MS Mincho" w:hAnsi="Courier New" w:cs="Courier New"/>
          <w:i/>
          <w:iCs/>
          <w:sz w:val="18"/>
          <w:lang w:val="en-US"/>
        </w:rPr>
        <w:t>”</w:t>
      </w:r>
      <w:r w:rsidRPr="00C537A6">
        <w:rPr>
          <w:rFonts w:ascii="Courier New" w:eastAsia="MS Mincho" w:hAnsi="Courier New" w:cs="Courier New"/>
          <w:sz w:val="18"/>
        </w:rPr>
        <w:t>, is applied</w:t>
      </w:r>
    </w:p>
    <w:p w14:paraId="7F2FE638" w14:textId="77777777" w:rsidR="00636670" w:rsidRPr="00C537A6" w:rsidRDefault="000817FD" w:rsidP="00C537A6">
      <w:pPr>
        <w:numPr>
          <w:ilvl w:val="3"/>
          <w:numId w:val="41"/>
        </w:numPr>
        <w:spacing w:after="0"/>
        <w:jc w:val="both"/>
        <w:rPr>
          <w:rFonts w:ascii="Courier New" w:eastAsia="MS Mincho" w:hAnsi="Courier New" w:cs="Courier New"/>
          <w:sz w:val="18"/>
          <w:lang w:val="en-US"/>
        </w:rPr>
      </w:pPr>
      <w:r w:rsidRPr="00C537A6">
        <w:rPr>
          <w:rFonts w:ascii="Courier New" w:eastAsia="MS Mincho" w:hAnsi="Courier New" w:cs="Courier New"/>
          <w:sz w:val="18"/>
        </w:rPr>
        <w:t xml:space="preserve">For UL HARQ timing, the </w:t>
      </w:r>
      <w:proofErr w:type="spellStart"/>
      <w:r w:rsidRPr="00C537A6">
        <w:rPr>
          <w:rFonts w:ascii="Courier New" w:eastAsia="MS Mincho" w:hAnsi="Courier New" w:cs="Courier New"/>
          <w:sz w:val="18"/>
        </w:rPr>
        <w:t>PCell’s</w:t>
      </w:r>
      <w:proofErr w:type="spellEnd"/>
      <w:r w:rsidRPr="00C537A6">
        <w:rPr>
          <w:rFonts w:ascii="Courier New" w:eastAsia="MS Mincho" w:hAnsi="Courier New" w:cs="Courier New"/>
          <w:sz w:val="18"/>
        </w:rPr>
        <w:t xml:space="preserve"> UL/DL configuration, i.e. “</w:t>
      </w:r>
      <w:proofErr w:type="spellStart"/>
      <w:r w:rsidRPr="00C537A6">
        <w:rPr>
          <w:rFonts w:ascii="Courier New" w:eastAsia="MS Mincho" w:hAnsi="Courier New" w:cs="Courier New"/>
          <w:i/>
          <w:iCs/>
          <w:sz w:val="18"/>
          <w:lang w:val="en-US"/>
        </w:rPr>
        <w:t>subframeAssignment</w:t>
      </w:r>
      <w:proofErr w:type="spellEnd"/>
      <w:r w:rsidRPr="00C537A6">
        <w:rPr>
          <w:rFonts w:ascii="Courier New" w:eastAsia="MS Mincho" w:hAnsi="Courier New" w:cs="Courier New"/>
          <w:i/>
          <w:iCs/>
          <w:sz w:val="18"/>
          <w:lang w:val="en-US"/>
        </w:rPr>
        <w:t>”</w:t>
      </w:r>
      <w:r w:rsidRPr="00C537A6">
        <w:rPr>
          <w:rFonts w:ascii="Courier New" w:eastAsia="MS Mincho" w:hAnsi="Courier New" w:cs="Courier New"/>
          <w:sz w:val="18"/>
        </w:rPr>
        <w:t>, is applied</w:t>
      </w:r>
    </w:p>
    <w:p w14:paraId="4118910C" w14:textId="6681604F" w:rsidR="00C537A6" w:rsidRDefault="00C537A6" w:rsidP="00CF3C3C">
      <w:pPr>
        <w:spacing w:after="0"/>
        <w:jc w:val="both"/>
        <w:rPr>
          <w:rFonts w:eastAsia="MS Mincho"/>
          <w:lang w:val="en-US"/>
        </w:rPr>
      </w:pPr>
    </w:p>
    <w:p w14:paraId="0C58A692" w14:textId="3FFAE9C8" w:rsidR="00C537A6" w:rsidRDefault="00C537A6" w:rsidP="00CF3C3C">
      <w:pPr>
        <w:spacing w:after="0"/>
        <w:jc w:val="both"/>
        <w:rPr>
          <w:rFonts w:eastAsia="MS Mincho"/>
          <w:lang w:val="en-US"/>
        </w:rPr>
      </w:pPr>
    </w:p>
    <w:p w14:paraId="5FF67D9F" w14:textId="2195DAF1" w:rsidR="00B6392F" w:rsidRDefault="00B6392F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outcome of the discussion in RAN1 #93 was captured in [1] and is copied below: </w:t>
      </w:r>
    </w:p>
    <w:p w14:paraId="5E833668" w14:textId="77777777" w:rsidR="00B260B7" w:rsidRPr="00B260B7" w:rsidRDefault="00B260B7" w:rsidP="00B260B7">
      <w:pPr>
        <w:spacing w:after="0"/>
        <w:jc w:val="both"/>
        <w:rPr>
          <w:rFonts w:ascii="Courier New" w:hAnsi="Courier New" w:cs="Courier New"/>
          <w:sz w:val="18"/>
        </w:rPr>
      </w:pPr>
    </w:p>
    <w:p w14:paraId="6ACB2A8A" w14:textId="77777777" w:rsidR="00B260B7" w:rsidRPr="00B260B7" w:rsidRDefault="00B260B7" w:rsidP="00B260B7">
      <w:pPr>
        <w:spacing w:after="0"/>
        <w:jc w:val="both"/>
        <w:rPr>
          <w:rFonts w:ascii="Courier New" w:hAnsi="Courier New" w:cs="Courier New"/>
          <w:sz w:val="18"/>
        </w:rPr>
      </w:pPr>
      <w:r w:rsidRPr="00B260B7">
        <w:rPr>
          <w:rFonts w:ascii="Courier New" w:hAnsi="Courier New" w:cs="Courier New"/>
          <w:sz w:val="18"/>
        </w:rPr>
        <w:t>Conclusion:</w:t>
      </w:r>
    </w:p>
    <w:p w14:paraId="0F2BEC84" w14:textId="77777777" w:rsidR="00B260B7" w:rsidRPr="00B260B7" w:rsidRDefault="00B260B7" w:rsidP="00B260B7">
      <w:pPr>
        <w:spacing w:after="0"/>
        <w:jc w:val="both"/>
        <w:rPr>
          <w:rFonts w:ascii="Courier New" w:hAnsi="Courier New" w:cs="Courier New"/>
          <w:sz w:val="18"/>
        </w:rPr>
      </w:pPr>
      <w:r w:rsidRPr="00B260B7">
        <w:rPr>
          <w:rFonts w:ascii="Courier New" w:hAnsi="Courier New" w:cs="Courier New"/>
          <w:sz w:val="18"/>
        </w:rPr>
        <w:t xml:space="preserve">When the UE is configured with multiple UL carriers on different frequencies, but the UE operates only on one of the UL carriers at a given time among a pair of LTE and NR carriers, LTE operation with an LTE TDD </w:t>
      </w:r>
      <w:proofErr w:type="spellStart"/>
      <w:r w:rsidRPr="00B260B7">
        <w:rPr>
          <w:rFonts w:ascii="Courier New" w:hAnsi="Courier New" w:cs="Courier New"/>
          <w:sz w:val="18"/>
        </w:rPr>
        <w:t>PCell</w:t>
      </w:r>
      <w:proofErr w:type="spellEnd"/>
      <w:r w:rsidRPr="00B260B7">
        <w:rPr>
          <w:rFonts w:ascii="Courier New" w:hAnsi="Courier New" w:cs="Courier New"/>
          <w:sz w:val="18"/>
        </w:rPr>
        <w:t xml:space="preserve"> using the same HARQ timing as LTE operation without EN-DC is supported by the current RAN1 specifications at least when no LTE UL CA is used at least for the following cases</w:t>
      </w:r>
    </w:p>
    <w:p w14:paraId="231D4B83" w14:textId="37ADCCC8" w:rsidR="00B260B7" w:rsidRPr="00C537A6" w:rsidRDefault="00B260B7" w:rsidP="00C537A6">
      <w:pPr>
        <w:pStyle w:val="ListParagraph"/>
        <w:numPr>
          <w:ilvl w:val="0"/>
          <w:numId w:val="40"/>
        </w:numPr>
        <w:spacing w:after="0"/>
        <w:jc w:val="both"/>
        <w:rPr>
          <w:rFonts w:ascii="Courier New" w:hAnsi="Courier New" w:cs="Courier New"/>
          <w:sz w:val="18"/>
        </w:rPr>
      </w:pPr>
      <w:r w:rsidRPr="00C537A6">
        <w:rPr>
          <w:rFonts w:ascii="Courier New" w:hAnsi="Courier New" w:cs="Courier New"/>
          <w:sz w:val="18"/>
        </w:rPr>
        <w:t>The UE supports dynamic power sharing</w:t>
      </w:r>
    </w:p>
    <w:p w14:paraId="1FC412A7" w14:textId="1E740F87" w:rsidR="00C70734" w:rsidRPr="00C537A6" w:rsidRDefault="00B260B7" w:rsidP="00C537A6">
      <w:pPr>
        <w:pStyle w:val="ListParagraph"/>
        <w:numPr>
          <w:ilvl w:val="0"/>
          <w:numId w:val="40"/>
        </w:numPr>
        <w:spacing w:after="0"/>
        <w:jc w:val="both"/>
        <w:rPr>
          <w:lang w:val="en-US"/>
        </w:rPr>
      </w:pPr>
      <w:r w:rsidRPr="00C537A6">
        <w:rPr>
          <w:rFonts w:ascii="Courier New" w:hAnsi="Courier New" w:cs="Courier New"/>
          <w:sz w:val="18"/>
        </w:rPr>
        <w:t xml:space="preserve">The UE is configured with P_LTE + P_NR not greater than </w:t>
      </w:r>
      <w:proofErr w:type="spellStart"/>
      <w:r w:rsidRPr="00C537A6">
        <w:rPr>
          <w:rFonts w:ascii="Courier New" w:hAnsi="Courier New" w:cs="Courier New"/>
          <w:sz w:val="18"/>
        </w:rPr>
        <w:t>P_cmax</w:t>
      </w:r>
      <w:proofErr w:type="spellEnd"/>
    </w:p>
    <w:p w14:paraId="1646599A" w14:textId="77777777" w:rsidR="00273805" w:rsidRDefault="00273805" w:rsidP="00CF3C3C">
      <w:pPr>
        <w:spacing w:after="0"/>
        <w:jc w:val="both"/>
        <w:rPr>
          <w:rFonts w:eastAsia="MS Mincho"/>
          <w:lang w:val="en-US"/>
        </w:rPr>
      </w:pPr>
    </w:p>
    <w:p w14:paraId="48F2D597" w14:textId="7B1DB177" w:rsidR="00A6731F" w:rsidRDefault="00C537A6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i.e. only Case 2 was adopted. </w:t>
      </w:r>
    </w:p>
    <w:p w14:paraId="3D2E2342" w14:textId="5BE21A4E" w:rsidR="00C537A6" w:rsidRDefault="00C537A6" w:rsidP="00CF3C3C">
      <w:pPr>
        <w:spacing w:after="0"/>
        <w:jc w:val="both"/>
        <w:rPr>
          <w:rFonts w:eastAsia="MS Mincho"/>
          <w:lang w:val="en-US"/>
        </w:rPr>
      </w:pPr>
    </w:p>
    <w:p w14:paraId="0C180FF6" w14:textId="615847FB" w:rsidR="00F270AE" w:rsidRDefault="00F270AE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We believe that there is no need to reopen the RAN1 decision; however, for the evolution in future releases, we think that all the previous proposals [2][3][4][5] and solutions can be further considered. </w:t>
      </w:r>
    </w:p>
    <w:p w14:paraId="12CE63AC" w14:textId="1A19988A" w:rsidR="00512528" w:rsidRDefault="00512528" w:rsidP="00CF3C3C">
      <w:pPr>
        <w:spacing w:after="0"/>
        <w:jc w:val="both"/>
        <w:rPr>
          <w:rFonts w:eastAsia="MS Mincho"/>
          <w:lang w:val="en-US"/>
        </w:rPr>
      </w:pPr>
    </w:p>
    <w:p w14:paraId="62FDAE49" w14:textId="391423A7" w:rsidR="009E4A9C" w:rsidRDefault="009E4A9C" w:rsidP="00CF3C3C">
      <w:pPr>
        <w:spacing w:after="0"/>
        <w:jc w:val="both"/>
        <w:rPr>
          <w:rFonts w:eastAsia="MS Mincho"/>
          <w:lang w:val="en-US"/>
        </w:rPr>
      </w:pPr>
    </w:p>
    <w:p w14:paraId="54A87E2E" w14:textId="77777777" w:rsidR="009E4A9C" w:rsidRDefault="009E4A9C" w:rsidP="00CF3C3C">
      <w:pPr>
        <w:spacing w:after="0"/>
        <w:jc w:val="both"/>
        <w:rPr>
          <w:rFonts w:eastAsia="MS Mincho"/>
          <w:lang w:val="en-US"/>
        </w:rPr>
      </w:pPr>
    </w:p>
    <w:p w14:paraId="2DF102CA" w14:textId="13D64C9B" w:rsidR="00512528" w:rsidRDefault="00512528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lastRenderedPageBreak/>
        <w:t xml:space="preserve">The previously discussed proposals are: </w:t>
      </w:r>
    </w:p>
    <w:p w14:paraId="4AFA27B9" w14:textId="5FBF66AE" w:rsidR="00512528" w:rsidRPr="00512528" w:rsidRDefault="00512528" w:rsidP="00512528">
      <w:pPr>
        <w:pStyle w:val="ListParagraph"/>
        <w:numPr>
          <w:ilvl w:val="0"/>
          <w:numId w:val="42"/>
        </w:numPr>
        <w:spacing w:after="0"/>
        <w:jc w:val="both"/>
        <w:rPr>
          <w:lang w:val="en-US"/>
        </w:rPr>
      </w:pPr>
      <w:r w:rsidRPr="00512528">
        <w:rPr>
          <w:lang w:val="en-US"/>
        </w:rPr>
        <w:t>Case 1</w:t>
      </w:r>
      <w:proofErr w:type="gramStart"/>
      <w:r w:rsidRPr="00512528">
        <w:rPr>
          <w:lang w:val="en-US"/>
        </w:rPr>
        <w:t>a</w:t>
      </w:r>
      <w:r>
        <w:rPr>
          <w:lang w:val="en-US"/>
        </w:rPr>
        <w:t xml:space="preserve"> </w:t>
      </w:r>
      <w:r w:rsidRPr="00512528">
        <w:rPr>
          <w:lang w:val="en-US"/>
        </w:rPr>
        <w:t>:</w:t>
      </w:r>
      <w:proofErr w:type="gramEnd"/>
      <w:r w:rsidRPr="00512528">
        <w:rPr>
          <w:lang w:val="en-US"/>
        </w:rPr>
        <w:t xml:space="preserve"> TDM HARQ Case 1, operation A</w:t>
      </w:r>
    </w:p>
    <w:p w14:paraId="79D2CCE1" w14:textId="566BA295" w:rsidR="00512528" w:rsidRPr="00512528" w:rsidRDefault="00512528" w:rsidP="00512528">
      <w:pPr>
        <w:pStyle w:val="ListParagraph"/>
        <w:numPr>
          <w:ilvl w:val="0"/>
          <w:numId w:val="42"/>
        </w:numPr>
        <w:spacing w:after="0"/>
        <w:jc w:val="both"/>
        <w:rPr>
          <w:lang w:val="en-US"/>
        </w:rPr>
      </w:pPr>
      <w:r w:rsidRPr="00512528">
        <w:rPr>
          <w:lang w:val="en-US"/>
        </w:rPr>
        <w:t>Case 1</w:t>
      </w:r>
      <w:proofErr w:type="gramStart"/>
      <w:r w:rsidRPr="00512528">
        <w:rPr>
          <w:lang w:val="en-US"/>
        </w:rPr>
        <w:t>b :</w:t>
      </w:r>
      <w:proofErr w:type="gramEnd"/>
      <w:r w:rsidRPr="00512528">
        <w:rPr>
          <w:lang w:val="en-US"/>
        </w:rPr>
        <w:t xml:space="preserve"> TDM HARQ Case 1, operation B</w:t>
      </w:r>
    </w:p>
    <w:p w14:paraId="270ACA6D" w14:textId="5EE60536" w:rsidR="00512528" w:rsidRPr="00512528" w:rsidRDefault="00512528" w:rsidP="00512528">
      <w:pPr>
        <w:pStyle w:val="ListParagraph"/>
        <w:numPr>
          <w:ilvl w:val="0"/>
          <w:numId w:val="42"/>
        </w:numPr>
        <w:spacing w:after="0"/>
        <w:jc w:val="both"/>
        <w:rPr>
          <w:lang w:val="en-US"/>
        </w:rPr>
      </w:pPr>
      <w:r w:rsidRPr="00512528">
        <w:rPr>
          <w:lang w:val="en-US"/>
        </w:rPr>
        <w:t xml:space="preserve">Case </w:t>
      </w:r>
      <w:proofErr w:type="gramStart"/>
      <w:r w:rsidRPr="00512528">
        <w:rPr>
          <w:lang w:val="en-US"/>
        </w:rPr>
        <w:t>2 :</w:t>
      </w:r>
      <w:proofErr w:type="gramEnd"/>
      <w:r w:rsidRPr="00512528">
        <w:rPr>
          <w:lang w:val="en-US"/>
        </w:rPr>
        <w:t xml:space="preserve"> TDM HARQ Case 2</w:t>
      </w:r>
    </w:p>
    <w:p w14:paraId="2A0AD45C" w14:textId="0038C410" w:rsidR="00512528" w:rsidRDefault="00512528" w:rsidP="00512528">
      <w:pPr>
        <w:pStyle w:val="ListParagraph"/>
        <w:numPr>
          <w:ilvl w:val="0"/>
          <w:numId w:val="42"/>
        </w:numPr>
        <w:spacing w:after="0"/>
        <w:jc w:val="both"/>
        <w:rPr>
          <w:lang w:val="en-US"/>
        </w:rPr>
      </w:pPr>
      <w:r>
        <w:rPr>
          <w:lang w:val="en-US"/>
        </w:rPr>
        <w:t>‘</w:t>
      </w:r>
      <w:r w:rsidRPr="00512528">
        <w:rPr>
          <w:lang w:val="en-US"/>
        </w:rPr>
        <w:t>Case 3</w:t>
      </w:r>
      <w:proofErr w:type="gramStart"/>
      <w:r>
        <w:rPr>
          <w:lang w:val="en-US"/>
        </w:rPr>
        <w:t>’</w:t>
      </w:r>
      <w:r w:rsidRPr="00512528">
        <w:rPr>
          <w:lang w:val="en-US"/>
        </w:rPr>
        <w:t xml:space="preserve"> :</w:t>
      </w:r>
      <w:proofErr w:type="gramEnd"/>
      <w:r>
        <w:rPr>
          <w:lang w:val="en-US"/>
        </w:rPr>
        <w:t xml:space="preserve"> Hybrid TDM [3][5]</w:t>
      </w:r>
    </w:p>
    <w:p w14:paraId="3A6A3388" w14:textId="6B247926" w:rsidR="00512528" w:rsidRDefault="00512528" w:rsidP="00512528">
      <w:pPr>
        <w:spacing w:after="0"/>
        <w:jc w:val="both"/>
        <w:rPr>
          <w:lang w:val="en-US"/>
        </w:rPr>
      </w:pPr>
    </w:p>
    <w:p w14:paraId="7148A043" w14:textId="678672C3" w:rsidR="00512528" w:rsidRDefault="00512528" w:rsidP="00512528">
      <w:pPr>
        <w:spacing w:after="0"/>
        <w:jc w:val="both"/>
        <w:rPr>
          <w:lang w:val="en-US"/>
        </w:rPr>
      </w:pPr>
      <w:r>
        <w:rPr>
          <w:lang w:val="en-US"/>
        </w:rPr>
        <w:t xml:space="preserve">Case 3 can be </w:t>
      </w:r>
      <w:r w:rsidR="009E4A9C">
        <w:rPr>
          <w:lang w:val="en-US"/>
        </w:rPr>
        <w:t xml:space="preserve">further </w:t>
      </w:r>
      <w:r>
        <w:rPr>
          <w:lang w:val="en-US"/>
        </w:rPr>
        <w:t xml:space="preserve">described as follows: </w:t>
      </w:r>
    </w:p>
    <w:p w14:paraId="0756659C" w14:textId="6651D9A2" w:rsidR="00512528" w:rsidRDefault="00512528" w:rsidP="00512528">
      <w:pPr>
        <w:pStyle w:val="ListParagraph"/>
        <w:numPr>
          <w:ilvl w:val="0"/>
          <w:numId w:val="43"/>
        </w:numPr>
        <w:spacing w:after="0"/>
        <w:jc w:val="both"/>
        <w:rPr>
          <w:lang w:val="en-US"/>
        </w:rPr>
      </w:pPr>
      <w:r>
        <w:rPr>
          <w:lang w:val="en-US"/>
        </w:rPr>
        <w:t>LTE DL HARQ follows the</w:t>
      </w:r>
      <w:r w:rsidR="009E4A9C">
        <w:rPr>
          <w:lang w:val="en-US"/>
        </w:rPr>
        <w:t xml:space="preserve"> </w:t>
      </w:r>
      <w:proofErr w:type="spellStart"/>
      <w:r w:rsidR="009E4A9C">
        <w:rPr>
          <w:lang w:val="en-US"/>
        </w:rPr>
        <w:t>eIMTA</w:t>
      </w:r>
      <w:proofErr w:type="spellEnd"/>
      <w:r w:rsidR="009E4A9C">
        <w:rPr>
          <w:lang w:val="en-US"/>
        </w:rPr>
        <w:t xml:space="preserve"> case for TDD and the</w:t>
      </w:r>
      <w:r>
        <w:rPr>
          <w:lang w:val="en-US"/>
        </w:rPr>
        <w:t xml:space="preserve"> </w:t>
      </w:r>
      <w:r w:rsidR="009E4A9C">
        <w:rPr>
          <w:lang w:val="en-US"/>
        </w:rPr>
        <w:t xml:space="preserve">FDD-TDD CA with TDD </w:t>
      </w:r>
      <w:proofErr w:type="spellStart"/>
      <w:r w:rsidR="009E4A9C">
        <w:rPr>
          <w:lang w:val="en-US"/>
        </w:rPr>
        <w:t>PCell</w:t>
      </w:r>
      <w:proofErr w:type="spellEnd"/>
      <w:r w:rsidR="009E4A9C">
        <w:rPr>
          <w:lang w:val="en-US"/>
        </w:rPr>
        <w:t xml:space="preserve"> case for FDD</w:t>
      </w:r>
    </w:p>
    <w:p w14:paraId="58E62FDF" w14:textId="569A6E69" w:rsidR="009E4A9C" w:rsidRDefault="009E4A9C" w:rsidP="009E4A9C">
      <w:pPr>
        <w:pStyle w:val="ListParagraph"/>
        <w:numPr>
          <w:ilvl w:val="1"/>
          <w:numId w:val="43"/>
        </w:numPr>
        <w:spacing w:after="0"/>
        <w:jc w:val="both"/>
        <w:rPr>
          <w:lang w:val="en-US"/>
        </w:rPr>
      </w:pPr>
      <w:r>
        <w:rPr>
          <w:lang w:val="en-US"/>
        </w:rPr>
        <w:t>LTE UL control is restricted to a subframe subset</w:t>
      </w:r>
    </w:p>
    <w:p w14:paraId="7779BACA" w14:textId="77777777" w:rsidR="009E4A9C" w:rsidRDefault="009E4A9C" w:rsidP="00512528">
      <w:pPr>
        <w:pStyle w:val="ListParagraph"/>
        <w:numPr>
          <w:ilvl w:val="0"/>
          <w:numId w:val="43"/>
        </w:numPr>
        <w:spacing w:after="0"/>
        <w:jc w:val="both"/>
        <w:rPr>
          <w:lang w:val="en-US"/>
        </w:rPr>
      </w:pPr>
      <w:r>
        <w:rPr>
          <w:lang w:val="en-US"/>
        </w:rPr>
        <w:t>LTE UL HARQ is same as without EN-DC</w:t>
      </w:r>
    </w:p>
    <w:p w14:paraId="356DC0B8" w14:textId="0B6F9A8D" w:rsidR="009E4A9C" w:rsidRDefault="009E4A9C" w:rsidP="009E4A9C">
      <w:pPr>
        <w:pStyle w:val="ListParagraph"/>
        <w:numPr>
          <w:ilvl w:val="1"/>
          <w:numId w:val="43"/>
        </w:numPr>
        <w:spacing w:after="0"/>
        <w:jc w:val="both"/>
        <w:rPr>
          <w:lang w:val="en-US"/>
        </w:rPr>
      </w:pPr>
      <w:r>
        <w:rPr>
          <w:lang w:val="en-US"/>
        </w:rPr>
        <w:t xml:space="preserve">All UL subframe can be used for data </w:t>
      </w:r>
    </w:p>
    <w:p w14:paraId="5388CA4B" w14:textId="20664064" w:rsidR="009E4A9C" w:rsidRDefault="009E4A9C" w:rsidP="009E4A9C">
      <w:pPr>
        <w:pStyle w:val="ListParagraph"/>
        <w:numPr>
          <w:ilvl w:val="0"/>
          <w:numId w:val="43"/>
        </w:numPr>
        <w:spacing w:after="0"/>
        <w:jc w:val="both"/>
        <w:rPr>
          <w:lang w:val="en-US"/>
        </w:rPr>
      </w:pPr>
      <w:r>
        <w:rPr>
          <w:lang w:val="en-US"/>
        </w:rPr>
        <w:t>NR DL HARQ is same as without EN-DC</w:t>
      </w:r>
    </w:p>
    <w:p w14:paraId="0DC0FA5F" w14:textId="4A5781C1" w:rsidR="009E4A9C" w:rsidRPr="00512528" w:rsidRDefault="009E4A9C" w:rsidP="009E4A9C">
      <w:pPr>
        <w:pStyle w:val="ListParagraph"/>
        <w:numPr>
          <w:ilvl w:val="0"/>
          <w:numId w:val="43"/>
        </w:numPr>
        <w:spacing w:after="0"/>
        <w:jc w:val="both"/>
        <w:rPr>
          <w:lang w:val="en-US"/>
        </w:rPr>
      </w:pPr>
      <w:r>
        <w:rPr>
          <w:lang w:val="en-US"/>
        </w:rPr>
        <w:t>NR UL HARQ is same as without EN-DC</w:t>
      </w:r>
    </w:p>
    <w:p w14:paraId="640486A5" w14:textId="76DA93EF" w:rsidR="00512528" w:rsidRPr="00512528" w:rsidRDefault="00512528" w:rsidP="00512528">
      <w:pPr>
        <w:spacing w:after="0"/>
        <w:jc w:val="both"/>
        <w:rPr>
          <w:lang w:val="en-US"/>
        </w:rPr>
      </w:pPr>
      <w:r w:rsidRPr="00512528">
        <w:rPr>
          <w:lang w:val="en-US"/>
        </w:rPr>
        <w:t xml:space="preserve"> </w:t>
      </w:r>
    </w:p>
    <w:p w14:paraId="60DB5854" w14:textId="77777777" w:rsidR="009E4A9C" w:rsidRDefault="009E4A9C" w:rsidP="009E4A9C">
      <w:pPr>
        <w:spacing w:after="0"/>
        <w:jc w:val="both"/>
        <w:rPr>
          <w:rFonts w:eastAsia="MS Mincho"/>
          <w:lang w:val="en-US"/>
        </w:rPr>
      </w:pPr>
    </w:p>
    <w:p w14:paraId="2E8BC3AA" w14:textId="138547D0" w:rsidR="009E4A9C" w:rsidRDefault="009E4A9C" w:rsidP="009E4A9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Note that the proposal in [3] can be </w:t>
      </w:r>
      <w:r w:rsidR="00F719D3">
        <w:rPr>
          <w:rFonts w:eastAsia="MS Mincho"/>
          <w:lang w:val="en-US"/>
        </w:rPr>
        <w:t>viewed</w:t>
      </w:r>
      <w:r>
        <w:rPr>
          <w:rFonts w:eastAsia="MS Mincho"/>
          <w:lang w:val="en-US"/>
        </w:rPr>
        <w:t xml:space="preserve"> as an adaptation of ‘Case 3’ to the TDD </w:t>
      </w:r>
      <w:proofErr w:type="spellStart"/>
      <w:r>
        <w:rPr>
          <w:rFonts w:eastAsia="MS Mincho"/>
          <w:lang w:val="en-US"/>
        </w:rPr>
        <w:t>PCell</w:t>
      </w:r>
      <w:proofErr w:type="spellEnd"/>
      <w:r>
        <w:rPr>
          <w:rFonts w:eastAsia="MS Mincho"/>
          <w:lang w:val="en-US"/>
        </w:rPr>
        <w:t xml:space="preserve"> case. An earlier proposal in [5] suggested adopting ‘Case 3’ for the FDD </w:t>
      </w:r>
      <w:proofErr w:type="spellStart"/>
      <w:r>
        <w:rPr>
          <w:rFonts w:eastAsia="MS Mincho"/>
          <w:lang w:val="en-US"/>
        </w:rPr>
        <w:t>PCell</w:t>
      </w:r>
      <w:proofErr w:type="spellEnd"/>
      <w:r>
        <w:rPr>
          <w:rFonts w:eastAsia="MS Mincho"/>
          <w:lang w:val="en-US"/>
        </w:rPr>
        <w:t xml:space="preserve"> case. </w:t>
      </w:r>
    </w:p>
    <w:p w14:paraId="1F4591E1" w14:textId="77777777" w:rsidR="00512528" w:rsidRDefault="00512528" w:rsidP="00CF3C3C">
      <w:pPr>
        <w:spacing w:after="0"/>
        <w:jc w:val="both"/>
        <w:rPr>
          <w:rFonts w:eastAsia="MS Mincho"/>
          <w:lang w:val="en-US"/>
        </w:rPr>
      </w:pPr>
    </w:p>
    <w:p w14:paraId="2844ABC5" w14:textId="42052F8E" w:rsidR="00512528" w:rsidRDefault="00C537A6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the following, we give comparison of the various solutions: </w:t>
      </w:r>
    </w:p>
    <w:p w14:paraId="7195C4F8" w14:textId="5BFE3818" w:rsidR="00E52829" w:rsidRDefault="00E52829" w:rsidP="00CF3C3C">
      <w:pPr>
        <w:spacing w:after="0"/>
        <w:jc w:val="both"/>
        <w:rPr>
          <w:rFonts w:eastAsia="MS Mincho"/>
          <w:lang w:val="en-US"/>
        </w:rPr>
      </w:pPr>
    </w:p>
    <w:p w14:paraId="42BAE4EF" w14:textId="77777777" w:rsidR="009E4A9C" w:rsidRDefault="009E4A9C" w:rsidP="00CF3C3C">
      <w:pPr>
        <w:spacing w:after="0"/>
        <w:jc w:val="both"/>
        <w:rPr>
          <w:rFonts w:eastAsia="MS Mincho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1969"/>
        <w:gridCol w:w="1882"/>
        <w:gridCol w:w="1883"/>
        <w:gridCol w:w="1883"/>
      </w:tblGrid>
      <w:tr w:rsidR="00E52829" w14:paraId="76142BFF" w14:textId="77777777" w:rsidTr="00512528">
        <w:tc>
          <w:tcPr>
            <w:tcW w:w="1795" w:type="dxa"/>
            <w:tcBorders>
              <w:bottom w:val="double" w:sz="4" w:space="0" w:color="auto"/>
              <w:right w:val="double" w:sz="4" w:space="0" w:color="auto"/>
            </w:tcBorders>
          </w:tcPr>
          <w:p w14:paraId="12C6ECFC" w14:textId="05F4B0FC" w:rsidR="00E52829" w:rsidRPr="00C537A6" w:rsidRDefault="00E52829" w:rsidP="00EC5A0F">
            <w:pPr>
              <w:spacing w:after="0"/>
              <w:jc w:val="center"/>
              <w:rPr>
                <w:rFonts w:eastAsia="MS Mincho"/>
                <w:b/>
                <w:lang w:val="en-US"/>
              </w:rPr>
            </w:pPr>
          </w:p>
        </w:tc>
        <w:tc>
          <w:tcPr>
            <w:tcW w:w="1969" w:type="dxa"/>
            <w:tcBorders>
              <w:left w:val="double" w:sz="4" w:space="0" w:color="auto"/>
              <w:bottom w:val="double" w:sz="4" w:space="0" w:color="auto"/>
            </w:tcBorders>
          </w:tcPr>
          <w:p w14:paraId="747E375E" w14:textId="1F3BC3A1" w:rsidR="00E52829" w:rsidRPr="00E52829" w:rsidRDefault="00E52829" w:rsidP="00EC5A0F">
            <w:pPr>
              <w:spacing w:after="0"/>
              <w:jc w:val="center"/>
              <w:rPr>
                <w:rFonts w:eastAsia="MS Mincho"/>
                <w:b/>
                <w:lang w:val="en-US"/>
              </w:rPr>
            </w:pPr>
            <w:r w:rsidRPr="00E52829">
              <w:rPr>
                <w:rFonts w:eastAsia="MS Mincho"/>
                <w:b/>
                <w:lang w:val="en-US"/>
              </w:rPr>
              <w:t>Case 1a (semi-static LTE, dynamic NR)</w:t>
            </w:r>
          </w:p>
        </w:tc>
        <w:tc>
          <w:tcPr>
            <w:tcW w:w="1882" w:type="dxa"/>
            <w:tcBorders>
              <w:bottom w:val="double" w:sz="4" w:space="0" w:color="auto"/>
            </w:tcBorders>
          </w:tcPr>
          <w:p w14:paraId="291EF75A" w14:textId="2ADB96A6" w:rsidR="00E52829" w:rsidRPr="00E52829" w:rsidRDefault="00E52829" w:rsidP="00EC5A0F">
            <w:pPr>
              <w:spacing w:after="0"/>
              <w:jc w:val="center"/>
              <w:rPr>
                <w:rFonts w:eastAsia="MS Mincho"/>
                <w:b/>
                <w:lang w:val="en-US"/>
              </w:rPr>
            </w:pPr>
            <w:r w:rsidRPr="00E52829">
              <w:rPr>
                <w:rFonts w:eastAsia="MS Mincho"/>
                <w:b/>
                <w:lang w:val="en-US"/>
              </w:rPr>
              <w:t>Case 1b (semi-static TDM)</w:t>
            </w:r>
          </w:p>
        </w:tc>
        <w:tc>
          <w:tcPr>
            <w:tcW w:w="1883" w:type="dxa"/>
            <w:tcBorders>
              <w:bottom w:val="double" w:sz="4" w:space="0" w:color="auto"/>
            </w:tcBorders>
          </w:tcPr>
          <w:p w14:paraId="2404083F" w14:textId="6D2C0AD4" w:rsidR="00E52829" w:rsidRPr="00E52829" w:rsidRDefault="00E52829" w:rsidP="00EC5A0F">
            <w:pPr>
              <w:spacing w:after="0"/>
              <w:jc w:val="center"/>
              <w:rPr>
                <w:rFonts w:eastAsia="MS Mincho"/>
                <w:b/>
                <w:lang w:val="en-US"/>
              </w:rPr>
            </w:pPr>
            <w:r w:rsidRPr="00E52829">
              <w:rPr>
                <w:rFonts w:eastAsia="MS Mincho"/>
                <w:b/>
                <w:lang w:val="en-US"/>
              </w:rPr>
              <w:t>Case 2 (dynamic TDM)</w:t>
            </w:r>
          </w:p>
        </w:tc>
        <w:tc>
          <w:tcPr>
            <w:tcW w:w="1883" w:type="dxa"/>
            <w:tcBorders>
              <w:bottom w:val="double" w:sz="4" w:space="0" w:color="auto"/>
            </w:tcBorders>
          </w:tcPr>
          <w:p w14:paraId="49BD167A" w14:textId="556EBF5F" w:rsidR="00E52829" w:rsidRPr="00E52829" w:rsidRDefault="00E52829" w:rsidP="00EC5A0F">
            <w:pPr>
              <w:spacing w:after="0"/>
              <w:jc w:val="center"/>
              <w:rPr>
                <w:rFonts w:eastAsia="MS Mincho"/>
                <w:b/>
                <w:lang w:val="en-US"/>
              </w:rPr>
            </w:pPr>
            <w:r w:rsidRPr="00E52829">
              <w:rPr>
                <w:rFonts w:eastAsia="MS Mincho"/>
                <w:b/>
                <w:lang w:val="en-US"/>
              </w:rPr>
              <w:t>‘Case 3’ (hybrid TDM)</w:t>
            </w:r>
          </w:p>
        </w:tc>
      </w:tr>
      <w:tr w:rsidR="00E52829" w14:paraId="074A53F8" w14:textId="77777777" w:rsidTr="00512528">
        <w:tc>
          <w:tcPr>
            <w:tcW w:w="1795" w:type="dxa"/>
            <w:tcBorders>
              <w:top w:val="double" w:sz="4" w:space="0" w:color="auto"/>
              <w:right w:val="double" w:sz="4" w:space="0" w:color="auto"/>
            </w:tcBorders>
          </w:tcPr>
          <w:p w14:paraId="7EE8C221" w14:textId="06EC1B71" w:rsidR="00E52829" w:rsidRDefault="00E52829" w:rsidP="00EC5A0F">
            <w:pPr>
              <w:spacing w:after="0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New LTE DL HARQ?</w:t>
            </w:r>
          </w:p>
        </w:tc>
        <w:tc>
          <w:tcPr>
            <w:tcW w:w="1969" w:type="dxa"/>
            <w:tcBorders>
              <w:top w:val="double" w:sz="4" w:space="0" w:color="auto"/>
              <w:left w:val="double" w:sz="4" w:space="0" w:color="auto"/>
            </w:tcBorders>
          </w:tcPr>
          <w:p w14:paraId="54966483" w14:textId="1428053E" w:rsidR="00E52829" w:rsidRPr="003E01D9" w:rsidRDefault="00E5282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3E01D9">
              <w:rPr>
                <w:rFonts w:eastAsia="MS Mincho"/>
                <w:color w:val="auto"/>
                <w:lang w:val="en-US"/>
              </w:rPr>
              <w:t>Yes</w:t>
            </w:r>
          </w:p>
        </w:tc>
        <w:tc>
          <w:tcPr>
            <w:tcW w:w="1882" w:type="dxa"/>
            <w:tcBorders>
              <w:top w:val="double" w:sz="4" w:space="0" w:color="auto"/>
            </w:tcBorders>
          </w:tcPr>
          <w:p w14:paraId="57DD8C12" w14:textId="54F7EF30" w:rsidR="00E52829" w:rsidRPr="003E01D9" w:rsidRDefault="00E5282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3E01D9">
              <w:rPr>
                <w:rFonts w:eastAsia="MS Mincho"/>
                <w:color w:val="auto"/>
                <w:lang w:val="en-US"/>
              </w:rPr>
              <w:t>Yes</w:t>
            </w:r>
          </w:p>
        </w:tc>
        <w:tc>
          <w:tcPr>
            <w:tcW w:w="1883" w:type="dxa"/>
            <w:tcBorders>
              <w:top w:val="double" w:sz="4" w:space="0" w:color="auto"/>
            </w:tcBorders>
          </w:tcPr>
          <w:p w14:paraId="3F5108FD" w14:textId="66BC172F" w:rsidR="00E52829" w:rsidRPr="003E01D9" w:rsidRDefault="00E5282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3E01D9">
              <w:rPr>
                <w:rFonts w:eastAsia="MS Mincho"/>
                <w:color w:val="auto"/>
                <w:lang w:val="en-US"/>
              </w:rPr>
              <w:t>No</w:t>
            </w:r>
          </w:p>
        </w:tc>
        <w:tc>
          <w:tcPr>
            <w:tcW w:w="1883" w:type="dxa"/>
            <w:tcBorders>
              <w:top w:val="double" w:sz="4" w:space="0" w:color="auto"/>
            </w:tcBorders>
          </w:tcPr>
          <w:p w14:paraId="22D2AD2D" w14:textId="7EEBD1C4" w:rsidR="00E52829" w:rsidRPr="003E01D9" w:rsidRDefault="00E5282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3E01D9">
              <w:rPr>
                <w:rFonts w:eastAsia="MS Mincho"/>
                <w:color w:val="auto"/>
                <w:lang w:val="en-US"/>
              </w:rPr>
              <w:t>Yes</w:t>
            </w:r>
          </w:p>
        </w:tc>
      </w:tr>
      <w:tr w:rsidR="003E01D9" w14:paraId="40E297B4" w14:textId="77777777" w:rsidTr="00512528">
        <w:tc>
          <w:tcPr>
            <w:tcW w:w="1795" w:type="dxa"/>
            <w:tcBorders>
              <w:right w:val="double" w:sz="4" w:space="0" w:color="auto"/>
            </w:tcBorders>
          </w:tcPr>
          <w:p w14:paraId="4984028C" w14:textId="5ADC58D9" w:rsidR="003E01D9" w:rsidRDefault="003E01D9" w:rsidP="003E01D9">
            <w:pPr>
              <w:spacing w:after="0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All LTE DL subframes useable? </w:t>
            </w:r>
          </w:p>
        </w:tc>
        <w:tc>
          <w:tcPr>
            <w:tcW w:w="1969" w:type="dxa"/>
            <w:tcBorders>
              <w:left w:val="double" w:sz="4" w:space="0" w:color="auto"/>
            </w:tcBorders>
          </w:tcPr>
          <w:p w14:paraId="275CC276" w14:textId="020E2316" w:rsidR="003E01D9" w:rsidRPr="003E01D9" w:rsidRDefault="003E01D9" w:rsidP="00512528">
            <w:pPr>
              <w:spacing w:after="0"/>
              <w:jc w:val="center"/>
              <w:rPr>
                <w:rFonts w:eastAsia="MS Mincho"/>
                <w:color w:val="00B050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Yes</w:t>
            </w:r>
          </w:p>
        </w:tc>
        <w:tc>
          <w:tcPr>
            <w:tcW w:w="1882" w:type="dxa"/>
          </w:tcPr>
          <w:p w14:paraId="1B3C10EF" w14:textId="7B6AF7BD" w:rsidR="003E01D9" w:rsidRPr="003E01D9" w:rsidRDefault="003E01D9" w:rsidP="00512528">
            <w:pPr>
              <w:spacing w:after="0"/>
              <w:jc w:val="center"/>
              <w:rPr>
                <w:rFonts w:eastAsia="MS Mincho"/>
                <w:color w:val="00B050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Yes</w:t>
            </w:r>
          </w:p>
        </w:tc>
        <w:tc>
          <w:tcPr>
            <w:tcW w:w="1883" w:type="dxa"/>
          </w:tcPr>
          <w:p w14:paraId="5A17D655" w14:textId="401052EF" w:rsidR="003E01D9" w:rsidRPr="003E01D9" w:rsidRDefault="003E01D9" w:rsidP="00512528">
            <w:pPr>
              <w:spacing w:after="0"/>
              <w:jc w:val="center"/>
              <w:rPr>
                <w:rFonts w:eastAsia="MS Mincho"/>
                <w:color w:val="FF0000"/>
                <w:lang w:val="en-US"/>
              </w:rPr>
            </w:pPr>
            <w:r w:rsidRPr="003E01D9">
              <w:rPr>
                <w:rFonts w:eastAsia="MS Mincho"/>
                <w:color w:val="FF0000"/>
                <w:lang w:val="en-US"/>
              </w:rPr>
              <w:t>No</w:t>
            </w:r>
          </w:p>
        </w:tc>
        <w:tc>
          <w:tcPr>
            <w:tcW w:w="1883" w:type="dxa"/>
          </w:tcPr>
          <w:p w14:paraId="5F865E75" w14:textId="3C45111D" w:rsidR="003E01D9" w:rsidRDefault="003E01D9" w:rsidP="00512528">
            <w:pPr>
              <w:spacing w:after="0"/>
              <w:jc w:val="center"/>
              <w:rPr>
                <w:rFonts w:eastAsia="MS Mincho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Yes</w:t>
            </w:r>
          </w:p>
        </w:tc>
      </w:tr>
      <w:tr w:rsidR="003E01D9" w14:paraId="4A79E51A" w14:textId="77777777" w:rsidTr="00512528">
        <w:tc>
          <w:tcPr>
            <w:tcW w:w="1795" w:type="dxa"/>
            <w:tcBorders>
              <w:right w:val="double" w:sz="4" w:space="0" w:color="auto"/>
            </w:tcBorders>
          </w:tcPr>
          <w:p w14:paraId="4FE2AF21" w14:textId="4B3683BC" w:rsidR="003E01D9" w:rsidRDefault="003E01D9" w:rsidP="003E01D9">
            <w:pPr>
              <w:spacing w:after="0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New NR DL HARQ?</w:t>
            </w:r>
          </w:p>
        </w:tc>
        <w:tc>
          <w:tcPr>
            <w:tcW w:w="1969" w:type="dxa"/>
            <w:tcBorders>
              <w:left w:val="double" w:sz="4" w:space="0" w:color="auto"/>
            </w:tcBorders>
          </w:tcPr>
          <w:p w14:paraId="39C2DEE3" w14:textId="51C7D9DE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No</w:t>
            </w:r>
          </w:p>
        </w:tc>
        <w:tc>
          <w:tcPr>
            <w:tcW w:w="1882" w:type="dxa"/>
          </w:tcPr>
          <w:p w14:paraId="48E8624B" w14:textId="1CBF48FC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No</w:t>
            </w:r>
          </w:p>
        </w:tc>
        <w:tc>
          <w:tcPr>
            <w:tcW w:w="1883" w:type="dxa"/>
          </w:tcPr>
          <w:p w14:paraId="7425FDDC" w14:textId="7DDFE9C7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No</w:t>
            </w:r>
          </w:p>
        </w:tc>
        <w:tc>
          <w:tcPr>
            <w:tcW w:w="1883" w:type="dxa"/>
          </w:tcPr>
          <w:p w14:paraId="7088C852" w14:textId="4E99214C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No</w:t>
            </w:r>
          </w:p>
        </w:tc>
      </w:tr>
      <w:tr w:rsidR="00E52829" w14:paraId="6671D1B9" w14:textId="77777777" w:rsidTr="00512528">
        <w:tc>
          <w:tcPr>
            <w:tcW w:w="1795" w:type="dxa"/>
            <w:tcBorders>
              <w:right w:val="double" w:sz="4" w:space="0" w:color="auto"/>
            </w:tcBorders>
          </w:tcPr>
          <w:p w14:paraId="41570544" w14:textId="5BEF1508" w:rsidR="00E52829" w:rsidRDefault="00E52829" w:rsidP="00E52829">
            <w:pPr>
              <w:spacing w:after="0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All NR DL slots useable?</w:t>
            </w:r>
          </w:p>
        </w:tc>
        <w:tc>
          <w:tcPr>
            <w:tcW w:w="1969" w:type="dxa"/>
            <w:tcBorders>
              <w:left w:val="double" w:sz="4" w:space="0" w:color="auto"/>
            </w:tcBorders>
          </w:tcPr>
          <w:p w14:paraId="22F7EC94" w14:textId="172C5558" w:rsidR="00E52829" w:rsidRPr="003E01D9" w:rsidRDefault="00E52829" w:rsidP="00512528">
            <w:pPr>
              <w:spacing w:after="0"/>
              <w:jc w:val="center"/>
              <w:rPr>
                <w:rFonts w:eastAsia="MS Mincho"/>
                <w:color w:val="00B050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Yes</w:t>
            </w:r>
          </w:p>
        </w:tc>
        <w:tc>
          <w:tcPr>
            <w:tcW w:w="1882" w:type="dxa"/>
          </w:tcPr>
          <w:p w14:paraId="3887689D" w14:textId="368D499A" w:rsidR="00E52829" w:rsidRPr="003E01D9" w:rsidRDefault="00E52829" w:rsidP="00512528">
            <w:pPr>
              <w:spacing w:after="0"/>
              <w:jc w:val="center"/>
              <w:rPr>
                <w:rFonts w:eastAsia="MS Mincho"/>
                <w:color w:val="00B050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Yes</w:t>
            </w:r>
          </w:p>
        </w:tc>
        <w:tc>
          <w:tcPr>
            <w:tcW w:w="1883" w:type="dxa"/>
          </w:tcPr>
          <w:p w14:paraId="512AFA9F" w14:textId="0E82A6DA" w:rsidR="00E52829" w:rsidRPr="003E01D9" w:rsidRDefault="00E52829" w:rsidP="00512528">
            <w:pPr>
              <w:spacing w:after="0"/>
              <w:jc w:val="center"/>
              <w:rPr>
                <w:rFonts w:eastAsia="MS Mincho"/>
                <w:color w:val="00B050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Yes</w:t>
            </w:r>
          </w:p>
        </w:tc>
        <w:tc>
          <w:tcPr>
            <w:tcW w:w="1883" w:type="dxa"/>
          </w:tcPr>
          <w:p w14:paraId="78DD8CDC" w14:textId="6CB4B1C1" w:rsidR="00E52829" w:rsidRPr="003E01D9" w:rsidRDefault="00E52829" w:rsidP="00512528">
            <w:pPr>
              <w:spacing w:after="0"/>
              <w:jc w:val="center"/>
              <w:rPr>
                <w:rFonts w:eastAsia="MS Mincho"/>
                <w:color w:val="00B050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Yes</w:t>
            </w:r>
          </w:p>
        </w:tc>
      </w:tr>
      <w:tr w:rsidR="003E01D9" w14:paraId="2A0CD356" w14:textId="77777777" w:rsidTr="00512528">
        <w:tc>
          <w:tcPr>
            <w:tcW w:w="1795" w:type="dxa"/>
            <w:tcBorders>
              <w:right w:val="double" w:sz="4" w:space="0" w:color="auto"/>
            </w:tcBorders>
          </w:tcPr>
          <w:p w14:paraId="4E861382" w14:textId="6D606B5D" w:rsidR="003E01D9" w:rsidRDefault="003E01D9" w:rsidP="003E01D9">
            <w:pPr>
              <w:spacing w:after="0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New LTE UL HARQ?</w:t>
            </w:r>
          </w:p>
        </w:tc>
        <w:tc>
          <w:tcPr>
            <w:tcW w:w="1969" w:type="dxa"/>
            <w:tcBorders>
              <w:left w:val="double" w:sz="4" w:space="0" w:color="auto"/>
            </w:tcBorders>
          </w:tcPr>
          <w:p w14:paraId="08A7535F" w14:textId="793A5B76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Yes</w:t>
            </w:r>
          </w:p>
        </w:tc>
        <w:tc>
          <w:tcPr>
            <w:tcW w:w="1882" w:type="dxa"/>
          </w:tcPr>
          <w:p w14:paraId="163621A1" w14:textId="4ED3C7CF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Yes</w:t>
            </w:r>
          </w:p>
        </w:tc>
        <w:tc>
          <w:tcPr>
            <w:tcW w:w="1883" w:type="dxa"/>
          </w:tcPr>
          <w:p w14:paraId="35B4E738" w14:textId="2D9C88C6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No</w:t>
            </w:r>
          </w:p>
        </w:tc>
        <w:tc>
          <w:tcPr>
            <w:tcW w:w="1883" w:type="dxa"/>
          </w:tcPr>
          <w:p w14:paraId="78171EFD" w14:textId="369AB8AA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No</w:t>
            </w:r>
          </w:p>
        </w:tc>
      </w:tr>
      <w:tr w:rsidR="003E01D9" w14:paraId="69B89ADA" w14:textId="77777777" w:rsidTr="00512528">
        <w:tc>
          <w:tcPr>
            <w:tcW w:w="1795" w:type="dxa"/>
            <w:tcBorders>
              <w:right w:val="double" w:sz="4" w:space="0" w:color="auto"/>
            </w:tcBorders>
          </w:tcPr>
          <w:p w14:paraId="5C5817DF" w14:textId="70728433" w:rsidR="003E01D9" w:rsidRDefault="003E01D9" w:rsidP="003E01D9">
            <w:pPr>
              <w:spacing w:after="0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LTE UL link budget loss?  </w:t>
            </w:r>
          </w:p>
        </w:tc>
        <w:tc>
          <w:tcPr>
            <w:tcW w:w="1969" w:type="dxa"/>
            <w:tcBorders>
              <w:left w:val="double" w:sz="4" w:space="0" w:color="auto"/>
            </w:tcBorders>
          </w:tcPr>
          <w:p w14:paraId="3A98B056" w14:textId="0918F647" w:rsidR="003E01D9" w:rsidRPr="003E01D9" w:rsidRDefault="003E01D9" w:rsidP="00512528">
            <w:pPr>
              <w:spacing w:after="0"/>
              <w:jc w:val="center"/>
              <w:rPr>
                <w:rFonts w:eastAsia="MS Mincho"/>
                <w:color w:val="FF0000"/>
                <w:lang w:val="en-US"/>
              </w:rPr>
            </w:pPr>
            <w:r w:rsidRPr="003E01D9">
              <w:rPr>
                <w:rFonts w:eastAsia="MS Mincho"/>
                <w:color w:val="FF0000"/>
                <w:lang w:val="en-US"/>
              </w:rPr>
              <w:t>Yes</w:t>
            </w:r>
          </w:p>
        </w:tc>
        <w:tc>
          <w:tcPr>
            <w:tcW w:w="1882" w:type="dxa"/>
          </w:tcPr>
          <w:p w14:paraId="0EB1A36B" w14:textId="43787E6A" w:rsidR="003E01D9" w:rsidRPr="003E01D9" w:rsidRDefault="003E01D9" w:rsidP="00512528">
            <w:pPr>
              <w:spacing w:after="0"/>
              <w:jc w:val="center"/>
              <w:rPr>
                <w:rFonts w:eastAsia="MS Mincho"/>
                <w:color w:val="FF0000"/>
                <w:lang w:val="en-US"/>
              </w:rPr>
            </w:pPr>
            <w:r w:rsidRPr="003E01D9">
              <w:rPr>
                <w:rFonts w:eastAsia="MS Mincho"/>
                <w:color w:val="FF0000"/>
                <w:lang w:val="en-US"/>
              </w:rPr>
              <w:t>Yes</w:t>
            </w:r>
          </w:p>
        </w:tc>
        <w:tc>
          <w:tcPr>
            <w:tcW w:w="1883" w:type="dxa"/>
          </w:tcPr>
          <w:p w14:paraId="4FD700FC" w14:textId="6937F0D7" w:rsidR="003E01D9" w:rsidRPr="003E01D9" w:rsidRDefault="003E01D9" w:rsidP="00512528">
            <w:pPr>
              <w:spacing w:after="0"/>
              <w:jc w:val="center"/>
              <w:rPr>
                <w:rFonts w:eastAsia="MS Mincho"/>
                <w:color w:val="00B050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No</w:t>
            </w:r>
          </w:p>
        </w:tc>
        <w:tc>
          <w:tcPr>
            <w:tcW w:w="1883" w:type="dxa"/>
          </w:tcPr>
          <w:p w14:paraId="064D9778" w14:textId="701AF019" w:rsidR="003E01D9" w:rsidRPr="003E01D9" w:rsidRDefault="003E01D9" w:rsidP="00512528">
            <w:pPr>
              <w:spacing w:after="0"/>
              <w:jc w:val="center"/>
              <w:rPr>
                <w:rFonts w:eastAsia="MS Mincho"/>
                <w:color w:val="00B050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No</w:t>
            </w:r>
          </w:p>
        </w:tc>
      </w:tr>
      <w:tr w:rsidR="003E01D9" w14:paraId="094A2FF1" w14:textId="77777777" w:rsidTr="00512528">
        <w:tc>
          <w:tcPr>
            <w:tcW w:w="1795" w:type="dxa"/>
            <w:tcBorders>
              <w:right w:val="double" w:sz="4" w:space="0" w:color="auto"/>
            </w:tcBorders>
          </w:tcPr>
          <w:p w14:paraId="7EDFB17E" w14:textId="50DFEC64" w:rsidR="003E01D9" w:rsidRDefault="003E01D9" w:rsidP="003E01D9">
            <w:pPr>
              <w:spacing w:after="0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New NR UL HARQ?</w:t>
            </w:r>
          </w:p>
        </w:tc>
        <w:tc>
          <w:tcPr>
            <w:tcW w:w="1969" w:type="dxa"/>
            <w:tcBorders>
              <w:left w:val="double" w:sz="4" w:space="0" w:color="auto"/>
            </w:tcBorders>
          </w:tcPr>
          <w:p w14:paraId="66A91B58" w14:textId="221F4AF0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No</w:t>
            </w:r>
          </w:p>
        </w:tc>
        <w:tc>
          <w:tcPr>
            <w:tcW w:w="1882" w:type="dxa"/>
          </w:tcPr>
          <w:p w14:paraId="008AE074" w14:textId="65D81947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No</w:t>
            </w:r>
          </w:p>
        </w:tc>
        <w:tc>
          <w:tcPr>
            <w:tcW w:w="1883" w:type="dxa"/>
          </w:tcPr>
          <w:p w14:paraId="6AD181AD" w14:textId="375F150D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No</w:t>
            </w:r>
          </w:p>
        </w:tc>
        <w:tc>
          <w:tcPr>
            <w:tcW w:w="1883" w:type="dxa"/>
          </w:tcPr>
          <w:p w14:paraId="0268CB41" w14:textId="55B768FD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No</w:t>
            </w:r>
          </w:p>
        </w:tc>
      </w:tr>
      <w:tr w:rsidR="003E01D9" w14:paraId="34C018F7" w14:textId="77777777" w:rsidTr="00512528">
        <w:tc>
          <w:tcPr>
            <w:tcW w:w="1795" w:type="dxa"/>
            <w:tcBorders>
              <w:right w:val="double" w:sz="4" w:space="0" w:color="auto"/>
            </w:tcBorders>
          </w:tcPr>
          <w:p w14:paraId="6633656F" w14:textId="70010888" w:rsidR="003E01D9" w:rsidRDefault="003E01D9" w:rsidP="003E01D9">
            <w:pPr>
              <w:spacing w:after="0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NR UL link budget loss?  </w:t>
            </w:r>
          </w:p>
        </w:tc>
        <w:tc>
          <w:tcPr>
            <w:tcW w:w="1969" w:type="dxa"/>
            <w:tcBorders>
              <w:left w:val="double" w:sz="4" w:space="0" w:color="auto"/>
            </w:tcBorders>
          </w:tcPr>
          <w:p w14:paraId="5CC73E9F" w14:textId="258AA312" w:rsidR="003E01D9" w:rsidRDefault="003E01D9" w:rsidP="00512528">
            <w:pPr>
              <w:spacing w:after="0"/>
              <w:jc w:val="center"/>
              <w:rPr>
                <w:rFonts w:eastAsia="MS Mincho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No</w:t>
            </w:r>
          </w:p>
        </w:tc>
        <w:tc>
          <w:tcPr>
            <w:tcW w:w="1882" w:type="dxa"/>
          </w:tcPr>
          <w:p w14:paraId="62BA37CC" w14:textId="605F51A8" w:rsidR="003E01D9" w:rsidRPr="003E01D9" w:rsidRDefault="003E01D9" w:rsidP="00512528">
            <w:pPr>
              <w:spacing w:after="0"/>
              <w:jc w:val="center"/>
              <w:rPr>
                <w:rFonts w:eastAsia="MS Mincho"/>
                <w:color w:val="FF0000"/>
                <w:lang w:val="en-US"/>
              </w:rPr>
            </w:pPr>
            <w:r w:rsidRPr="003E01D9">
              <w:rPr>
                <w:rFonts w:eastAsia="MS Mincho"/>
                <w:color w:val="FF0000"/>
                <w:lang w:val="en-US"/>
              </w:rPr>
              <w:t>Yes</w:t>
            </w:r>
          </w:p>
        </w:tc>
        <w:tc>
          <w:tcPr>
            <w:tcW w:w="1883" w:type="dxa"/>
          </w:tcPr>
          <w:p w14:paraId="1CFB6561" w14:textId="1823C58E" w:rsidR="003E01D9" w:rsidRPr="003E01D9" w:rsidRDefault="003E01D9" w:rsidP="00512528">
            <w:pPr>
              <w:spacing w:after="0"/>
              <w:jc w:val="center"/>
              <w:rPr>
                <w:rFonts w:eastAsia="MS Mincho"/>
                <w:color w:val="00B050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No</w:t>
            </w:r>
          </w:p>
        </w:tc>
        <w:tc>
          <w:tcPr>
            <w:tcW w:w="1883" w:type="dxa"/>
          </w:tcPr>
          <w:p w14:paraId="736CECAA" w14:textId="58F3B633" w:rsidR="003E01D9" w:rsidRPr="003E01D9" w:rsidRDefault="003E01D9" w:rsidP="00512528">
            <w:pPr>
              <w:spacing w:after="0"/>
              <w:jc w:val="center"/>
              <w:rPr>
                <w:rFonts w:eastAsia="MS Mincho"/>
                <w:color w:val="00B050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No</w:t>
            </w:r>
          </w:p>
        </w:tc>
      </w:tr>
    </w:tbl>
    <w:p w14:paraId="70DE71B8" w14:textId="2447F0F3" w:rsidR="00E52829" w:rsidRDefault="00512528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Note that green is ‘positive’, red is ‘negative’ in the table </w:t>
      </w:r>
    </w:p>
    <w:p w14:paraId="256FA102" w14:textId="46808ECF" w:rsidR="00E52829" w:rsidRDefault="00E52829" w:rsidP="00CF3C3C">
      <w:pPr>
        <w:spacing w:after="0"/>
        <w:jc w:val="both"/>
        <w:rPr>
          <w:rFonts w:eastAsia="MS Mincho"/>
          <w:lang w:val="en-US"/>
        </w:rPr>
      </w:pPr>
    </w:p>
    <w:p w14:paraId="40D43F4C" w14:textId="77777777" w:rsidR="00F270AE" w:rsidRDefault="00F270AE" w:rsidP="00CF3C3C">
      <w:pPr>
        <w:spacing w:after="0"/>
        <w:jc w:val="both"/>
        <w:rPr>
          <w:rFonts w:eastAsia="MS Mincho"/>
          <w:lang w:val="en-US"/>
        </w:rPr>
      </w:pPr>
    </w:p>
    <w:p w14:paraId="16EB9BA2" w14:textId="53BFC81B" w:rsidR="00E52829" w:rsidRDefault="00F270AE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As it can be seen from the Table above, Case 3 can efficiently combine the benefits of all other cases; therefore</w:t>
      </w:r>
      <w:r w:rsidR="00F719D3">
        <w:rPr>
          <w:rFonts w:eastAsia="MS Mincho"/>
          <w:lang w:val="en-US"/>
        </w:rPr>
        <w:t>,</w:t>
      </w:r>
      <w:r>
        <w:rPr>
          <w:rFonts w:eastAsia="MS Mincho"/>
          <w:lang w:val="en-US"/>
        </w:rPr>
        <w:t xml:space="preserve"> it is an attractive option for operating single Tx TDM. </w:t>
      </w:r>
      <w:r w:rsidR="00E52829">
        <w:rPr>
          <w:rFonts w:eastAsia="MS Mincho"/>
          <w:lang w:val="en-US"/>
        </w:rPr>
        <w:t xml:space="preserve">However; we </w:t>
      </w:r>
      <w:r w:rsidR="009E4A9C">
        <w:rPr>
          <w:rFonts w:eastAsia="MS Mincho"/>
          <w:lang w:val="en-US"/>
        </w:rPr>
        <w:t>also</w:t>
      </w:r>
      <w:r w:rsidR="00E52829">
        <w:rPr>
          <w:rFonts w:eastAsia="MS Mincho"/>
          <w:lang w:val="en-US"/>
        </w:rPr>
        <w:t xml:space="preserve"> think it is important that if </w:t>
      </w:r>
      <w:r w:rsidR="009E4A9C">
        <w:rPr>
          <w:rFonts w:eastAsia="MS Mincho"/>
          <w:lang w:val="en-US"/>
        </w:rPr>
        <w:t>Case 3</w:t>
      </w:r>
      <w:r w:rsidR="00E52829">
        <w:rPr>
          <w:rFonts w:eastAsia="MS Mincho"/>
          <w:lang w:val="en-US"/>
        </w:rPr>
        <w:t xml:space="preserve"> is introduced, it should be introduced both for FDD and TDD at the same time</w:t>
      </w:r>
      <w:bookmarkStart w:id="2" w:name="_GoBack"/>
      <w:bookmarkEnd w:id="2"/>
      <w:r w:rsidR="00E52829">
        <w:rPr>
          <w:rFonts w:eastAsia="MS Mincho"/>
          <w:lang w:val="en-US"/>
        </w:rPr>
        <w:t xml:space="preserve"> to maintain parity. Therefor we make the following proposal</w:t>
      </w:r>
      <w:r w:rsidR="009E4A9C">
        <w:rPr>
          <w:rFonts w:eastAsia="MS Mincho"/>
          <w:lang w:val="en-US"/>
        </w:rPr>
        <w:t>:</w:t>
      </w:r>
      <w:r w:rsidR="00E52829">
        <w:rPr>
          <w:rFonts w:eastAsia="MS Mincho"/>
          <w:lang w:val="en-US"/>
        </w:rPr>
        <w:t xml:space="preserve"> </w:t>
      </w:r>
    </w:p>
    <w:p w14:paraId="5102ED81" w14:textId="01117CC1" w:rsidR="00A6731F" w:rsidRDefault="00F270AE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</w:t>
      </w:r>
    </w:p>
    <w:p w14:paraId="2388D22B" w14:textId="0A9FB23A" w:rsidR="00A6731F" w:rsidRPr="00DC55E9" w:rsidRDefault="00A6731F" w:rsidP="00A6731F">
      <w:pPr>
        <w:spacing w:after="0"/>
        <w:jc w:val="both"/>
        <w:rPr>
          <w:rFonts w:eastAsia="MS Mincho"/>
          <w:b/>
          <w:lang w:val="en-US"/>
        </w:rPr>
      </w:pPr>
      <w:r w:rsidRPr="00DC55E9">
        <w:rPr>
          <w:rFonts w:eastAsia="MS Mincho"/>
          <w:b/>
          <w:lang w:val="en-US"/>
        </w:rPr>
        <w:t xml:space="preserve">Proposal: </w:t>
      </w:r>
    </w:p>
    <w:p w14:paraId="2685D377" w14:textId="6537EAE7" w:rsidR="00A6731F" w:rsidRDefault="00A6731F" w:rsidP="00A6731F">
      <w:pPr>
        <w:spacing w:after="0"/>
        <w:jc w:val="both"/>
        <w:rPr>
          <w:rFonts w:eastAsia="MS Mincho"/>
          <w:b/>
          <w:lang w:val="en-US"/>
        </w:rPr>
      </w:pPr>
    </w:p>
    <w:p w14:paraId="2D3B9422" w14:textId="1369DDD7" w:rsidR="00E52829" w:rsidRPr="00C537A6" w:rsidRDefault="00E52829" w:rsidP="00A6731F">
      <w:pPr>
        <w:spacing w:after="0"/>
        <w:jc w:val="both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Consider adopting </w:t>
      </w:r>
      <w:r w:rsidR="002A0B27">
        <w:rPr>
          <w:rFonts w:eastAsia="MS Mincho"/>
          <w:b/>
          <w:lang w:val="en-US"/>
        </w:rPr>
        <w:t>‘</w:t>
      </w:r>
      <w:r>
        <w:rPr>
          <w:rFonts w:eastAsia="MS Mincho"/>
          <w:b/>
          <w:lang w:val="en-US"/>
        </w:rPr>
        <w:t>Case 3</w:t>
      </w:r>
      <w:r w:rsidR="002A0B27">
        <w:rPr>
          <w:rFonts w:eastAsia="MS Mincho"/>
          <w:b/>
          <w:lang w:val="en-US"/>
        </w:rPr>
        <w:t>’</w:t>
      </w:r>
      <w:r>
        <w:rPr>
          <w:rFonts w:eastAsia="MS Mincho"/>
          <w:b/>
          <w:lang w:val="en-US"/>
        </w:rPr>
        <w:t xml:space="preserve"> in a future release, </w:t>
      </w:r>
      <w:proofErr w:type="gramStart"/>
      <w:r>
        <w:rPr>
          <w:rFonts w:eastAsia="MS Mincho"/>
          <w:b/>
          <w:lang w:val="en-US"/>
        </w:rPr>
        <w:t>as long as</w:t>
      </w:r>
      <w:proofErr w:type="gramEnd"/>
      <w:r>
        <w:rPr>
          <w:rFonts w:eastAsia="MS Mincho"/>
          <w:b/>
          <w:lang w:val="en-US"/>
        </w:rPr>
        <w:t xml:space="preserve"> it is adopted for </w:t>
      </w:r>
      <w:r w:rsidR="009E4A9C">
        <w:rPr>
          <w:rFonts w:eastAsia="MS Mincho"/>
          <w:b/>
          <w:lang w:val="en-US"/>
        </w:rPr>
        <w:t xml:space="preserve">both </w:t>
      </w:r>
      <w:r>
        <w:rPr>
          <w:rFonts w:eastAsia="MS Mincho"/>
          <w:b/>
          <w:lang w:val="en-US"/>
        </w:rPr>
        <w:t xml:space="preserve">EN-DC </w:t>
      </w:r>
      <w:r w:rsidR="009E4A9C">
        <w:rPr>
          <w:rFonts w:eastAsia="MS Mincho"/>
          <w:b/>
          <w:lang w:val="en-US"/>
        </w:rPr>
        <w:t>with</w:t>
      </w:r>
      <w:r>
        <w:rPr>
          <w:rFonts w:eastAsia="MS Mincho"/>
          <w:b/>
          <w:lang w:val="en-US"/>
        </w:rPr>
        <w:t xml:space="preserve"> FDD </w:t>
      </w:r>
      <w:proofErr w:type="spellStart"/>
      <w:r>
        <w:rPr>
          <w:rFonts w:eastAsia="MS Mincho"/>
          <w:b/>
          <w:lang w:val="en-US"/>
        </w:rPr>
        <w:t>PCell</w:t>
      </w:r>
      <w:proofErr w:type="spellEnd"/>
      <w:r>
        <w:rPr>
          <w:rFonts w:eastAsia="MS Mincho"/>
          <w:b/>
          <w:lang w:val="en-US"/>
        </w:rPr>
        <w:t xml:space="preserve"> and</w:t>
      </w:r>
      <w:r w:rsidR="009E4A9C">
        <w:rPr>
          <w:rFonts w:eastAsia="MS Mincho"/>
          <w:b/>
          <w:lang w:val="en-US"/>
        </w:rPr>
        <w:t xml:space="preserve"> EN-DC with</w:t>
      </w:r>
      <w:r>
        <w:rPr>
          <w:rFonts w:eastAsia="MS Mincho"/>
          <w:b/>
          <w:lang w:val="en-US"/>
        </w:rPr>
        <w:t xml:space="preserve"> TDD </w:t>
      </w:r>
      <w:proofErr w:type="spellStart"/>
      <w:r>
        <w:rPr>
          <w:rFonts w:eastAsia="MS Mincho"/>
          <w:b/>
          <w:lang w:val="en-US"/>
        </w:rPr>
        <w:t>PCell</w:t>
      </w:r>
      <w:proofErr w:type="spellEnd"/>
      <w:r w:rsidR="009E4A9C">
        <w:rPr>
          <w:rFonts w:eastAsia="MS Mincho"/>
          <w:b/>
          <w:lang w:val="en-US"/>
        </w:rPr>
        <w:t xml:space="preserve"> at the same time. </w:t>
      </w:r>
      <w:r>
        <w:rPr>
          <w:rFonts w:eastAsia="MS Mincho"/>
          <w:b/>
          <w:lang w:val="en-US"/>
        </w:rPr>
        <w:t xml:space="preserve"> </w:t>
      </w:r>
    </w:p>
    <w:p w14:paraId="6035EFD4" w14:textId="30C92A33" w:rsidR="00A6731F" w:rsidRPr="00904C8E" w:rsidRDefault="00A6731F" w:rsidP="00CF3C3C">
      <w:pPr>
        <w:spacing w:after="0"/>
        <w:jc w:val="both"/>
        <w:rPr>
          <w:rFonts w:eastAsia="MS Mincho"/>
          <w:b/>
          <w:lang w:val="en-US"/>
        </w:rPr>
      </w:pPr>
    </w:p>
    <w:p w14:paraId="72D5D66B" w14:textId="77817263" w:rsidR="00904C8E" w:rsidRDefault="00904C8E" w:rsidP="00DC55E9">
      <w:pPr>
        <w:spacing w:after="0"/>
        <w:jc w:val="both"/>
        <w:rPr>
          <w:rFonts w:eastAsia="MS Mincho"/>
          <w:lang w:val="en-US"/>
        </w:rPr>
      </w:pPr>
    </w:p>
    <w:p w14:paraId="3C0E299D" w14:textId="065F4A60" w:rsidR="009E4A9C" w:rsidRDefault="009E4A9C" w:rsidP="00DC55E9">
      <w:pPr>
        <w:spacing w:after="0"/>
        <w:jc w:val="both"/>
        <w:rPr>
          <w:rFonts w:eastAsia="MS Mincho"/>
          <w:lang w:val="en-US"/>
        </w:rPr>
      </w:pPr>
    </w:p>
    <w:p w14:paraId="10B4EC4A" w14:textId="07D99B31" w:rsidR="009E4A9C" w:rsidRDefault="009E4A9C" w:rsidP="00DC55E9">
      <w:pPr>
        <w:spacing w:after="0"/>
        <w:jc w:val="both"/>
        <w:rPr>
          <w:rFonts w:eastAsia="MS Mincho"/>
          <w:lang w:val="en-US"/>
        </w:rPr>
      </w:pPr>
    </w:p>
    <w:p w14:paraId="42236524" w14:textId="77777777" w:rsidR="009E4A9C" w:rsidRDefault="009E4A9C" w:rsidP="00DC55E9">
      <w:pPr>
        <w:spacing w:after="0"/>
        <w:jc w:val="both"/>
        <w:rPr>
          <w:rFonts w:eastAsia="MS Mincho"/>
          <w:lang w:val="en-US"/>
        </w:rPr>
      </w:pPr>
    </w:p>
    <w:p w14:paraId="76875910" w14:textId="77777777" w:rsidR="00904C8E" w:rsidRDefault="00904C8E" w:rsidP="00DC55E9">
      <w:pPr>
        <w:spacing w:after="0"/>
        <w:jc w:val="both"/>
        <w:rPr>
          <w:rFonts w:eastAsia="MS Mincho"/>
          <w:lang w:val="en-US"/>
        </w:rPr>
      </w:pPr>
    </w:p>
    <w:p w14:paraId="21278A6E" w14:textId="098891DD" w:rsidR="00DC55E9" w:rsidRDefault="00DC55E9" w:rsidP="00DC55E9">
      <w:pPr>
        <w:pStyle w:val="Heading1"/>
        <w:jc w:val="both"/>
      </w:pPr>
      <w:r>
        <w:lastRenderedPageBreak/>
        <w:t>Conclusion</w:t>
      </w:r>
    </w:p>
    <w:p w14:paraId="575085A8" w14:textId="1DDD682F" w:rsidR="00DC55E9" w:rsidRDefault="00DC55E9" w:rsidP="00DC55E9">
      <w:pPr>
        <w:rPr>
          <w:lang w:eastAsia="zh-CN"/>
        </w:rPr>
      </w:pPr>
      <w:r>
        <w:rPr>
          <w:lang w:eastAsia="zh-CN"/>
        </w:rPr>
        <w:t xml:space="preserve">We have made the following proposal regarding the </w:t>
      </w:r>
      <w:r w:rsidR="009E4A9C">
        <w:rPr>
          <w:lang w:eastAsia="zh-CN"/>
        </w:rPr>
        <w:t xml:space="preserve">EN-DC TDM cases: </w:t>
      </w:r>
    </w:p>
    <w:p w14:paraId="039970E6" w14:textId="760273B7" w:rsidR="009E4A9C" w:rsidRDefault="009E4A9C" w:rsidP="009E4A9C">
      <w:pPr>
        <w:spacing w:after="0"/>
        <w:jc w:val="both"/>
        <w:rPr>
          <w:rFonts w:eastAsia="MS Mincho"/>
          <w:b/>
          <w:lang w:val="en-US"/>
        </w:rPr>
      </w:pPr>
      <w:r w:rsidRPr="00DC55E9">
        <w:rPr>
          <w:rFonts w:eastAsia="MS Mincho"/>
          <w:b/>
          <w:lang w:val="en-US"/>
        </w:rPr>
        <w:t xml:space="preserve">Proposal: </w:t>
      </w:r>
    </w:p>
    <w:p w14:paraId="308CEBD1" w14:textId="140878CC" w:rsidR="009E4A9C" w:rsidRPr="00C537A6" w:rsidRDefault="009E4A9C" w:rsidP="009E4A9C">
      <w:pPr>
        <w:spacing w:after="0"/>
        <w:jc w:val="both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Consider adopting </w:t>
      </w:r>
      <w:r w:rsidR="002A0B27">
        <w:rPr>
          <w:rFonts w:eastAsia="MS Mincho"/>
          <w:b/>
          <w:lang w:val="en-US"/>
        </w:rPr>
        <w:t>‘</w:t>
      </w:r>
      <w:r>
        <w:rPr>
          <w:rFonts w:eastAsia="MS Mincho"/>
          <w:b/>
          <w:lang w:val="en-US"/>
        </w:rPr>
        <w:t>Case 3</w:t>
      </w:r>
      <w:r w:rsidR="002A0B27">
        <w:rPr>
          <w:rFonts w:eastAsia="MS Mincho"/>
          <w:b/>
          <w:lang w:val="en-US"/>
        </w:rPr>
        <w:t>’</w:t>
      </w:r>
      <w:r>
        <w:rPr>
          <w:rFonts w:eastAsia="MS Mincho"/>
          <w:b/>
          <w:lang w:val="en-US"/>
        </w:rPr>
        <w:t xml:space="preserve"> in a future release, </w:t>
      </w:r>
      <w:proofErr w:type="gramStart"/>
      <w:r>
        <w:rPr>
          <w:rFonts w:eastAsia="MS Mincho"/>
          <w:b/>
          <w:lang w:val="en-US"/>
        </w:rPr>
        <w:t>as long as</w:t>
      </w:r>
      <w:proofErr w:type="gramEnd"/>
      <w:r>
        <w:rPr>
          <w:rFonts w:eastAsia="MS Mincho"/>
          <w:b/>
          <w:lang w:val="en-US"/>
        </w:rPr>
        <w:t xml:space="preserve"> it is adopted for both EN-DC with FDD </w:t>
      </w:r>
      <w:proofErr w:type="spellStart"/>
      <w:r>
        <w:rPr>
          <w:rFonts w:eastAsia="MS Mincho"/>
          <w:b/>
          <w:lang w:val="en-US"/>
        </w:rPr>
        <w:t>PCell</w:t>
      </w:r>
      <w:proofErr w:type="spellEnd"/>
      <w:r>
        <w:rPr>
          <w:rFonts w:eastAsia="MS Mincho"/>
          <w:b/>
          <w:lang w:val="en-US"/>
        </w:rPr>
        <w:t xml:space="preserve"> and EN-DC with TDD </w:t>
      </w:r>
      <w:proofErr w:type="spellStart"/>
      <w:r>
        <w:rPr>
          <w:rFonts w:eastAsia="MS Mincho"/>
          <w:b/>
          <w:lang w:val="en-US"/>
        </w:rPr>
        <w:t>PCell</w:t>
      </w:r>
      <w:proofErr w:type="spellEnd"/>
      <w:r>
        <w:rPr>
          <w:rFonts w:eastAsia="MS Mincho"/>
          <w:b/>
          <w:lang w:val="en-US"/>
        </w:rPr>
        <w:t xml:space="preserve"> at the same time.  </w:t>
      </w:r>
    </w:p>
    <w:p w14:paraId="1097197E" w14:textId="77777777" w:rsidR="00DC55E9" w:rsidRDefault="00DC55E9" w:rsidP="00DC55E9">
      <w:pPr>
        <w:rPr>
          <w:lang w:eastAsia="zh-CN"/>
        </w:rPr>
      </w:pPr>
    </w:p>
    <w:p w14:paraId="76997059" w14:textId="77777777" w:rsidR="00DC55E9" w:rsidRDefault="00DC55E9" w:rsidP="00A07C4D">
      <w:pPr>
        <w:spacing w:after="0"/>
        <w:jc w:val="both"/>
        <w:rPr>
          <w:rFonts w:eastAsia="MS Mincho"/>
          <w:lang w:val="en-US"/>
        </w:rPr>
      </w:pPr>
    </w:p>
    <w:p w14:paraId="38F922E9" w14:textId="307C8FA6" w:rsidR="00894623" w:rsidRPr="00894623" w:rsidRDefault="00513BAC" w:rsidP="00894623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049A6D2C" w14:textId="03E7C616" w:rsidR="00513BAC" w:rsidRDefault="00724625" w:rsidP="00894623">
      <w:pPr>
        <w:pStyle w:val="ListParagraph"/>
        <w:numPr>
          <w:ilvl w:val="0"/>
          <w:numId w:val="36"/>
        </w:numPr>
        <w:ind w:left="360"/>
      </w:pPr>
      <w:r>
        <w:t>“</w:t>
      </w:r>
      <w:r w:rsidRPr="00724625">
        <w:t>RAN1 Chair</w:t>
      </w:r>
      <w:r>
        <w:t>’</w:t>
      </w:r>
      <w:r w:rsidRPr="00724625">
        <w:t>s Notes</w:t>
      </w:r>
      <w:r>
        <w:t>”, RAN1 #93, May 25, 2018</w:t>
      </w:r>
    </w:p>
    <w:p w14:paraId="6DA6DA6F" w14:textId="7C1D9BE9" w:rsidR="00B260B7" w:rsidRDefault="008654FE" w:rsidP="008654FE">
      <w:pPr>
        <w:pStyle w:val="ListParagraph"/>
        <w:numPr>
          <w:ilvl w:val="0"/>
          <w:numId w:val="36"/>
        </w:numPr>
        <w:ind w:left="360"/>
      </w:pPr>
      <w:r w:rsidRPr="008654FE">
        <w:t>R1-1807281</w:t>
      </w:r>
      <w:r>
        <w:t>, “</w:t>
      </w:r>
      <w:r w:rsidRPr="008654FE">
        <w:t>On single Tx transmission timing in TDD LTE-NR D</w:t>
      </w:r>
      <w:r>
        <w:t xml:space="preserve">C”, </w:t>
      </w:r>
      <w:r w:rsidRPr="008654FE">
        <w:t>Nokia, Nokia Shanghai Bell</w:t>
      </w:r>
    </w:p>
    <w:p w14:paraId="54590944" w14:textId="77777777" w:rsidR="00B260B7" w:rsidRDefault="00B260B7" w:rsidP="008654FE">
      <w:pPr>
        <w:pStyle w:val="ListParagraph"/>
        <w:numPr>
          <w:ilvl w:val="0"/>
          <w:numId w:val="36"/>
        </w:numPr>
        <w:ind w:left="360"/>
      </w:pPr>
      <w:r w:rsidRPr="00B260B7">
        <w:t>R1-1807713</w:t>
      </w:r>
      <w:r>
        <w:t>, “</w:t>
      </w:r>
      <w:r w:rsidRPr="00B260B7">
        <w:t xml:space="preserve">WF on Single Tx in EN-DC with TDD </w:t>
      </w:r>
      <w:proofErr w:type="spellStart"/>
      <w:r w:rsidRPr="00B260B7">
        <w:t>PCell</w:t>
      </w:r>
      <w:proofErr w:type="spellEnd"/>
      <w:r>
        <w:t xml:space="preserve">”, </w:t>
      </w:r>
      <w:r w:rsidRPr="00B260B7">
        <w:t>Apple</w:t>
      </w:r>
    </w:p>
    <w:p w14:paraId="34F8ED45" w14:textId="4DCF9299" w:rsidR="00415B46" w:rsidRDefault="00B260B7" w:rsidP="008654FE">
      <w:pPr>
        <w:pStyle w:val="ListParagraph"/>
        <w:numPr>
          <w:ilvl w:val="0"/>
          <w:numId w:val="36"/>
        </w:numPr>
        <w:ind w:left="360"/>
      </w:pPr>
      <w:r w:rsidRPr="00B260B7">
        <w:t>R1-1807865</w:t>
      </w:r>
      <w:r>
        <w:t>, “</w:t>
      </w:r>
      <w:r w:rsidRPr="00B260B7">
        <w:t>Proposals on LTE-NR coexistence</w:t>
      </w:r>
      <w:r>
        <w:t>”, Qualcom</w:t>
      </w:r>
      <w:r w:rsidR="008654FE">
        <w:t>m</w:t>
      </w:r>
    </w:p>
    <w:p w14:paraId="2F37E1D5" w14:textId="1EE53917" w:rsidR="008654FE" w:rsidRDefault="008654FE" w:rsidP="008654FE">
      <w:pPr>
        <w:pStyle w:val="ListParagraph"/>
        <w:numPr>
          <w:ilvl w:val="0"/>
          <w:numId w:val="36"/>
        </w:numPr>
        <w:ind w:left="360"/>
      </w:pPr>
      <w:r w:rsidRPr="008654FE">
        <w:t>R1-1719194</w:t>
      </w:r>
      <w:r>
        <w:t>, “</w:t>
      </w:r>
      <w:r w:rsidRPr="008654FE">
        <w:t>WF on UL TDM in single Tx EN-DC</w:t>
      </w:r>
      <w:r>
        <w:t>”, Qualcomm, Vodafone</w:t>
      </w:r>
    </w:p>
    <w:sectPr w:rsidR="008654FE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1EF0E" w14:textId="77777777" w:rsidR="007678DE" w:rsidRDefault="007678DE">
      <w:r>
        <w:separator/>
      </w:r>
    </w:p>
    <w:p w14:paraId="205CC015" w14:textId="77777777" w:rsidR="007678DE" w:rsidRDefault="007678DE"/>
  </w:endnote>
  <w:endnote w:type="continuationSeparator" w:id="0">
    <w:p w14:paraId="702AA97B" w14:textId="77777777" w:rsidR="007678DE" w:rsidRDefault="007678DE">
      <w:r>
        <w:continuationSeparator/>
      </w:r>
    </w:p>
    <w:p w14:paraId="2FB4D16A" w14:textId="77777777" w:rsidR="007678DE" w:rsidRDefault="007678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32D85AEA" w:rsidR="00B46FB2" w:rsidRDefault="00B46FB2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23442D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23442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508E00D" w14:textId="77777777" w:rsidR="00B46FB2" w:rsidRDefault="00B46F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A4B3C" w14:textId="77777777" w:rsidR="007678DE" w:rsidRDefault="007678DE">
      <w:r>
        <w:separator/>
      </w:r>
    </w:p>
    <w:p w14:paraId="04151F55" w14:textId="77777777" w:rsidR="007678DE" w:rsidRDefault="007678DE"/>
  </w:footnote>
  <w:footnote w:type="continuationSeparator" w:id="0">
    <w:p w14:paraId="269EA52C" w14:textId="77777777" w:rsidR="007678DE" w:rsidRDefault="007678DE">
      <w:r>
        <w:continuationSeparator/>
      </w:r>
    </w:p>
    <w:p w14:paraId="2F335C4E" w14:textId="77777777" w:rsidR="007678DE" w:rsidRDefault="007678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B46FB2" w:rsidRDefault="00B46FB2"/>
  <w:p w14:paraId="305600EF" w14:textId="77777777" w:rsidR="00B46FB2" w:rsidRDefault="00B46F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2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DA17AAA"/>
    <w:multiLevelType w:val="hybridMultilevel"/>
    <w:tmpl w:val="E79AA784"/>
    <w:lvl w:ilvl="0" w:tplc="111CA1A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B30F03"/>
    <w:multiLevelType w:val="hybridMultilevel"/>
    <w:tmpl w:val="CB064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43AA8"/>
    <w:multiLevelType w:val="hybridMultilevel"/>
    <w:tmpl w:val="D95E7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CAE67BE"/>
    <w:multiLevelType w:val="hybridMultilevel"/>
    <w:tmpl w:val="408C9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6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3E08EC"/>
    <w:multiLevelType w:val="hybridMultilevel"/>
    <w:tmpl w:val="0234C0C6"/>
    <w:lvl w:ilvl="0" w:tplc="1ABE4A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2FE852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44788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9843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DA097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FEEC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F099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2A6C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CB650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BB3F6F"/>
    <w:multiLevelType w:val="hybridMultilevel"/>
    <w:tmpl w:val="899CB8B6"/>
    <w:lvl w:ilvl="0" w:tplc="A212F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C2EE40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C7444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0A97A">
      <w:start w:val="23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61D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6B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BA7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AAD5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D22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703373"/>
    <w:multiLevelType w:val="hybridMultilevel"/>
    <w:tmpl w:val="2092C5E8"/>
    <w:lvl w:ilvl="0" w:tplc="71205BC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21135A8"/>
    <w:multiLevelType w:val="hybridMultilevel"/>
    <w:tmpl w:val="5B9035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A516FD"/>
    <w:multiLevelType w:val="hybridMultilevel"/>
    <w:tmpl w:val="A340575E"/>
    <w:lvl w:ilvl="0" w:tplc="E278B1F6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40"/>
  </w:num>
  <w:num w:numId="3">
    <w:abstractNumId w:val="32"/>
  </w:num>
  <w:num w:numId="4">
    <w:abstractNumId w:val="30"/>
  </w:num>
  <w:num w:numId="5">
    <w:abstractNumId w:val="6"/>
  </w:num>
  <w:num w:numId="6">
    <w:abstractNumId w:val="16"/>
  </w:num>
  <w:num w:numId="7">
    <w:abstractNumId w:val="24"/>
  </w:num>
  <w:num w:numId="8">
    <w:abstractNumId w:val="9"/>
  </w:num>
  <w:num w:numId="9">
    <w:abstractNumId w:val="34"/>
  </w:num>
  <w:num w:numId="10">
    <w:abstractNumId w:val="33"/>
  </w:num>
  <w:num w:numId="11">
    <w:abstractNumId w:val="23"/>
  </w:num>
  <w:num w:numId="12">
    <w:abstractNumId w:val="5"/>
  </w:num>
  <w:num w:numId="13">
    <w:abstractNumId w:val="27"/>
  </w:num>
  <w:num w:numId="14">
    <w:abstractNumId w:val="26"/>
  </w:num>
  <w:num w:numId="15">
    <w:abstractNumId w:val="13"/>
  </w:num>
  <w:num w:numId="16">
    <w:abstractNumId w:val="19"/>
  </w:num>
  <w:num w:numId="17">
    <w:abstractNumId w:val="0"/>
  </w:num>
  <w:num w:numId="18">
    <w:abstractNumId w:val="21"/>
  </w:num>
  <w:num w:numId="19">
    <w:abstractNumId w:val="4"/>
  </w:num>
  <w:num w:numId="20">
    <w:abstractNumId w:val="18"/>
  </w:num>
  <w:num w:numId="21">
    <w:abstractNumId w:val="2"/>
  </w:num>
  <w:num w:numId="22">
    <w:abstractNumId w:val="3"/>
  </w:num>
  <w:num w:numId="23">
    <w:abstractNumId w:val="15"/>
  </w:num>
  <w:num w:numId="24">
    <w:abstractNumId w:val="1"/>
  </w:num>
  <w:num w:numId="25">
    <w:abstractNumId w:val="25"/>
  </w:num>
  <w:num w:numId="26">
    <w:abstractNumId w:val="20"/>
  </w:num>
  <w:num w:numId="27">
    <w:abstractNumId w:val="10"/>
  </w:num>
  <w:num w:numId="28">
    <w:abstractNumId w:val="41"/>
  </w:num>
  <w:num w:numId="29">
    <w:abstractNumId w:val="31"/>
  </w:num>
  <w:num w:numId="30">
    <w:abstractNumId w:val="37"/>
  </w:num>
  <w:num w:numId="31">
    <w:abstractNumId w:val="36"/>
  </w:num>
  <w:num w:numId="32">
    <w:abstractNumId w:val="29"/>
  </w:num>
  <w:num w:numId="33">
    <w:abstractNumId w:val="8"/>
  </w:num>
  <w:num w:numId="34">
    <w:abstractNumId w:val="7"/>
  </w:num>
  <w:num w:numId="35">
    <w:abstractNumId w:val="28"/>
  </w:num>
  <w:num w:numId="36">
    <w:abstractNumId w:val="35"/>
  </w:num>
  <w:num w:numId="37">
    <w:abstractNumId w:val="38"/>
  </w:num>
  <w:num w:numId="38">
    <w:abstractNumId w:val="39"/>
  </w:num>
  <w:num w:numId="39">
    <w:abstractNumId w:val="17"/>
  </w:num>
  <w:num w:numId="40">
    <w:abstractNumId w:val="11"/>
  </w:num>
  <w:num w:numId="41">
    <w:abstractNumId w:val="22"/>
  </w:num>
  <w:num w:numId="42">
    <w:abstractNumId w:val="14"/>
  </w:num>
  <w:num w:numId="4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4BA4"/>
    <w:rsid w:val="00025C47"/>
    <w:rsid w:val="00026135"/>
    <w:rsid w:val="00027CE5"/>
    <w:rsid w:val="00031410"/>
    <w:rsid w:val="00033A80"/>
    <w:rsid w:val="000376F2"/>
    <w:rsid w:val="00037D74"/>
    <w:rsid w:val="00037DEE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34F2"/>
    <w:rsid w:val="000659FC"/>
    <w:rsid w:val="00067869"/>
    <w:rsid w:val="000678B9"/>
    <w:rsid w:val="000736BD"/>
    <w:rsid w:val="00075B2E"/>
    <w:rsid w:val="0007617D"/>
    <w:rsid w:val="00076DE5"/>
    <w:rsid w:val="000773CD"/>
    <w:rsid w:val="00080137"/>
    <w:rsid w:val="00080956"/>
    <w:rsid w:val="00080FA2"/>
    <w:rsid w:val="000817FD"/>
    <w:rsid w:val="0008224A"/>
    <w:rsid w:val="00083138"/>
    <w:rsid w:val="000833AD"/>
    <w:rsid w:val="00084860"/>
    <w:rsid w:val="00086AB3"/>
    <w:rsid w:val="00086BF3"/>
    <w:rsid w:val="00086F0F"/>
    <w:rsid w:val="0009207F"/>
    <w:rsid w:val="00093273"/>
    <w:rsid w:val="000971AC"/>
    <w:rsid w:val="000A236B"/>
    <w:rsid w:val="000A30B5"/>
    <w:rsid w:val="000A4674"/>
    <w:rsid w:val="000A6DDC"/>
    <w:rsid w:val="000B0C75"/>
    <w:rsid w:val="000B0C76"/>
    <w:rsid w:val="000B13CF"/>
    <w:rsid w:val="000B1E69"/>
    <w:rsid w:val="000B2CB7"/>
    <w:rsid w:val="000B303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4ED9"/>
    <w:rsid w:val="000D7AC3"/>
    <w:rsid w:val="000E0669"/>
    <w:rsid w:val="000E3966"/>
    <w:rsid w:val="000F064E"/>
    <w:rsid w:val="000F081C"/>
    <w:rsid w:val="000F19AD"/>
    <w:rsid w:val="000F24A4"/>
    <w:rsid w:val="000F273C"/>
    <w:rsid w:val="000F3B92"/>
    <w:rsid w:val="000F4C87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5117"/>
    <w:rsid w:val="00115365"/>
    <w:rsid w:val="00117C6A"/>
    <w:rsid w:val="00121E85"/>
    <w:rsid w:val="00124ED7"/>
    <w:rsid w:val="00125408"/>
    <w:rsid w:val="001260AB"/>
    <w:rsid w:val="00130D0D"/>
    <w:rsid w:val="00131950"/>
    <w:rsid w:val="00132C80"/>
    <w:rsid w:val="00133370"/>
    <w:rsid w:val="00134C47"/>
    <w:rsid w:val="001406C9"/>
    <w:rsid w:val="00140C8E"/>
    <w:rsid w:val="001414D1"/>
    <w:rsid w:val="0014472B"/>
    <w:rsid w:val="00145302"/>
    <w:rsid w:val="00145561"/>
    <w:rsid w:val="001470E8"/>
    <w:rsid w:val="0014730F"/>
    <w:rsid w:val="00151C16"/>
    <w:rsid w:val="00152244"/>
    <w:rsid w:val="001529DD"/>
    <w:rsid w:val="00154353"/>
    <w:rsid w:val="00155A20"/>
    <w:rsid w:val="001570F6"/>
    <w:rsid w:val="0015724A"/>
    <w:rsid w:val="001609A9"/>
    <w:rsid w:val="00161364"/>
    <w:rsid w:val="00161B96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6C20"/>
    <w:rsid w:val="00187ECA"/>
    <w:rsid w:val="00191962"/>
    <w:rsid w:val="0019275B"/>
    <w:rsid w:val="00195336"/>
    <w:rsid w:val="001955FD"/>
    <w:rsid w:val="00197278"/>
    <w:rsid w:val="001A0C20"/>
    <w:rsid w:val="001A0FA0"/>
    <w:rsid w:val="001A28B1"/>
    <w:rsid w:val="001A2C5F"/>
    <w:rsid w:val="001B0615"/>
    <w:rsid w:val="001B0BBE"/>
    <w:rsid w:val="001B1988"/>
    <w:rsid w:val="001B456A"/>
    <w:rsid w:val="001B49A5"/>
    <w:rsid w:val="001B4B0F"/>
    <w:rsid w:val="001B7E82"/>
    <w:rsid w:val="001C19DF"/>
    <w:rsid w:val="001C26CE"/>
    <w:rsid w:val="001C28D1"/>
    <w:rsid w:val="001C37C6"/>
    <w:rsid w:val="001C4590"/>
    <w:rsid w:val="001C46EA"/>
    <w:rsid w:val="001C67B1"/>
    <w:rsid w:val="001D0660"/>
    <w:rsid w:val="001D0ED3"/>
    <w:rsid w:val="001D1E21"/>
    <w:rsid w:val="001D211A"/>
    <w:rsid w:val="001D32B9"/>
    <w:rsid w:val="001D56D0"/>
    <w:rsid w:val="001E08A2"/>
    <w:rsid w:val="001E2DCD"/>
    <w:rsid w:val="001E39BF"/>
    <w:rsid w:val="001E432F"/>
    <w:rsid w:val="001E62E9"/>
    <w:rsid w:val="001E7810"/>
    <w:rsid w:val="001F0B93"/>
    <w:rsid w:val="00200579"/>
    <w:rsid w:val="00204039"/>
    <w:rsid w:val="002059C0"/>
    <w:rsid w:val="00205D6B"/>
    <w:rsid w:val="00206FA4"/>
    <w:rsid w:val="00207E3C"/>
    <w:rsid w:val="00210670"/>
    <w:rsid w:val="00211B0C"/>
    <w:rsid w:val="00211EBF"/>
    <w:rsid w:val="002139F8"/>
    <w:rsid w:val="00213E7D"/>
    <w:rsid w:val="00214458"/>
    <w:rsid w:val="002157AB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42D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0584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886"/>
    <w:rsid w:val="002569CA"/>
    <w:rsid w:val="002601AD"/>
    <w:rsid w:val="0026234C"/>
    <w:rsid w:val="00262452"/>
    <w:rsid w:val="00264844"/>
    <w:rsid w:val="00265E9F"/>
    <w:rsid w:val="00265FBA"/>
    <w:rsid w:val="002668E6"/>
    <w:rsid w:val="002671EA"/>
    <w:rsid w:val="00267AD3"/>
    <w:rsid w:val="00273805"/>
    <w:rsid w:val="00276EA4"/>
    <w:rsid w:val="00277232"/>
    <w:rsid w:val="00281782"/>
    <w:rsid w:val="0028221B"/>
    <w:rsid w:val="00286265"/>
    <w:rsid w:val="00296198"/>
    <w:rsid w:val="002A0B27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456C"/>
    <w:rsid w:val="002D4766"/>
    <w:rsid w:val="002D6F60"/>
    <w:rsid w:val="002E02CB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10045"/>
    <w:rsid w:val="0031005D"/>
    <w:rsid w:val="00310256"/>
    <w:rsid w:val="003128DB"/>
    <w:rsid w:val="00312F4D"/>
    <w:rsid w:val="00314E97"/>
    <w:rsid w:val="00314F98"/>
    <w:rsid w:val="00315B1A"/>
    <w:rsid w:val="003205F8"/>
    <w:rsid w:val="00320D4D"/>
    <w:rsid w:val="00321CCF"/>
    <w:rsid w:val="003228A7"/>
    <w:rsid w:val="00324730"/>
    <w:rsid w:val="00326667"/>
    <w:rsid w:val="003271CE"/>
    <w:rsid w:val="00331913"/>
    <w:rsid w:val="00340D06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57BD"/>
    <w:rsid w:val="00356349"/>
    <w:rsid w:val="00360398"/>
    <w:rsid w:val="00360B59"/>
    <w:rsid w:val="00362056"/>
    <w:rsid w:val="003621A4"/>
    <w:rsid w:val="00364C29"/>
    <w:rsid w:val="00365E90"/>
    <w:rsid w:val="00366235"/>
    <w:rsid w:val="003673BF"/>
    <w:rsid w:val="003711EF"/>
    <w:rsid w:val="00371977"/>
    <w:rsid w:val="00371FD7"/>
    <w:rsid w:val="00372857"/>
    <w:rsid w:val="00372B7C"/>
    <w:rsid w:val="00373086"/>
    <w:rsid w:val="00373C63"/>
    <w:rsid w:val="00375FC8"/>
    <w:rsid w:val="00376B13"/>
    <w:rsid w:val="003802A4"/>
    <w:rsid w:val="0038086A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78BE"/>
    <w:rsid w:val="003B7A52"/>
    <w:rsid w:val="003C0BE9"/>
    <w:rsid w:val="003C5ABA"/>
    <w:rsid w:val="003C6BF8"/>
    <w:rsid w:val="003D020F"/>
    <w:rsid w:val="003D03B0"/>
    <w:rsid w:val="003D1061"/>
    <w:rsid w:val="003D165C"/>
    <w:rsid w:val="003D23CF"/>
    <w:rsid w:val="003D2571"/>
    <w:rsid w:val="003D410F"/>
    <w:rsid w:val="003D482F"/>
    <w:rsid w:val="003D4C34"/>
    <w:rsid w:val="003D5159"/>
    <w:rsid w:val="003D758B"/>
    <w:rsid w:val="003E01D9"/>
    <w:rsid w:val="003E124A"/>
    <w:rsid w:val="003E2BF5"/>
    <w:rsid w:val="003E54A2"/>
    <w:rsid w:val="003E7CA9"/>
    <w:rsid w:val="003F0566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5089"/>
    <w:rsid w:val="00415B46"/>
    <w:rsid w:val="004162ED"/>
    <w:rsid w:val="00416ECC"/>
    <w:rsid w:val="00421C94"/>
    <w:rsid w:val="004248E0"/>
    <w:rsid w:val="00424EFD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7DE"/>
    <w:rsid w:val="00445819"/>
    <w:rsid w:val="00445F9C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77997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563"/>
    <w:rsid w:val="00500638"/>
    <w:rsid w:val="00501624"/>
    <w:rsid w:val="00501A9B"/>
    <w:rsid w:val="0050667C"/>
    <w:rsid w:val="00510B0A"/>
    <w:rsid w:val="0051128C"/>
    <w:rsid w:val="00512528"/>
    <w:rsid w:val="00512760"/>
    <w:rsid w:val="0051290A"/>
    <w:rsid w:val="00512B3C"/>
    <w:rsid w:val="00513BAC"/>
    <w:rsid w:val="00514299"/>
    <w:rsid w:val="0051648E"/>
    <w:rsid w:val="00516691"/>
    <w:rsid w:val="005212C8"/>
    <w:rsid w:val="00521674"/>
    <w:rsid w:val="005226CF"/>
    <w:rsid w:val="005258ED"/>
    <w:rsid w:val="00526A04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5152B"/>
    <w:rsid w:val="0055421D"/>
    <w:rsid w:val="00554D54"/>
    <w:rsid w:val="00562D63"/>
    <w:rsid w:val="005645C4"/>
    <w:rsid w:val="005669FB"/>
    <w:rsid w:val="005700BE"/>
    <w:rsid w:val="0057264C"/>
    <w:rsid w:val="00572A89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78F"/>
    <w:rsid w:val="005C3B10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9D4"/>
    <w:rsid w:val="005F3BD7"/>
    <w:rsid w:val="005F3E44"/>
    <w:rsid w:val="005F3FC3"/>
    <w:rsid w:val="005F69A1"/>
    <w:rsid w:val="005F6EC5"/>
    <w:rsid w:val="0060098F"/>
    <w:rsid w:val="00602045"/>
    <w:rsid w:val="00602284"/>
    <w:rsid w:val="0060464C"/>
    <w:rsid w:val="00605BC5"/>
    <w:rsid w:val="00605D6A"/>
    <w:rsid w:val="0060655D"/>
    <w:rsid w:val="0060700F"/>
    <w:rsid w:val="00614EA3"/>
    <w:rsid w:val="00615294"/>
    <w:rsid w:val="006212CD"/>
    <w:rsid w:val="00622C09"/>
    <w:rsid w:val="00623A4E"/>
    <w:rsid w:val="0062731F"/>
    <w:rsid w:val="00627A07"/>
    <w:rsid w:val="006300A7"/>
    <w:rsid w:val="006303D8"/>
    <w:rsid w:val="006311B3"/>
    <w:rsid w:val="00632097"/>
    <w:rsid w:val="006321FA"/>
    <w:rsid w:val="00634DDA"/>
    <w:rsid w:val="00636670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7DCE"/>
    <w:rsid w:val="00650302"/>
    <w:rsid w:val="0065052E"/>
    <w:rsid w:val="00651085"/>
    <w:rsid w:val="00652A38"/>
    <w:rsid w:val="0065371F"/>
    <w:rsid w:val="00655058"/>
    <w:rsid w:val="00657BE2"/>
    <w:rsid w:val="0066007C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511"/>
    <w:rsid w:val="006A36CC"/>
    <w:rsid w:val="006A4473"/>
    <w:rsid w:val="006A6291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A96"/>
    <w:rsid w:val="00707137"/>
    <w:rsid w:val="0071011C"/>
    <w:rsid w:val="007101C5"/>
    <w:rsid w:val="00710245"/>
    <w:rsid w:val="0071087C"/>
    <w:rsid w:val="007142AA"/>
    <w:rsid w:val="00714DDF"/>
    <w:rsid w:val="00717945"/>
    <w:rsid w:val="00720F2E"/>
    <w:rsid w:val="00721A8E"/>
    <w:rsid w:val="00722187"/>
    <w:rsid w:val="0072390D"/>
    <w:rsid w:val="00724625"/>
    <w:rsid w:val="00726E01"/>
    <w:rsid w:val="00727E98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561"/>
    <w:rsid w:val="00762A6C"/>
    <w:rsid w:val="00763560"/>
    <w:rsid w:val="007662D6"/>
    <w:rsid w:val="00766747"/>
    <w:rsid w:val="007678DE"/>
    <w:rsid w:val="007708CF"/>
    <w:rsid w:val="00770969"/>
    <w:rsid w:val="007725E9"/>
    <w:rsid w:val="00773268"/>
    <w:rsid w:val="00777067"/>
    <w:rsid w:val="0078003F"/>
    <w:rsid w:val="0078095C"/>
    <w:rsid w:val="00782AD5"/>
    <w:rsid w:val="00782E81"/>
    <w:rsid w:val="00783AE7"/>
    <w:rsid w:val="00783D89"/>
    <w:rsid w:val="007859DF"/>
    <w:rsid w:val="00786E37"/>
    <w:rsid w:val="00791BB3"/>
    <w:rsid w:val="0079270F"/>
    <w:rsid w:val="00792F6A"/>
    <w:rsid w:val="007A180C"/>
    <w:rsid w:val="007A1E30"/>
    <w:rsid w:val="007A1E71"/>
    <w:rsid w:val="007B0C23"/>
    <w:rsid w:val="007B5E20"/>
    <w:rsid w:val="007C022E"/>
    <w:rsid w:val="007C58F6"/>
    <w:rsid w:val="007C6518"/>
    <w:rsid w:val="007C66C6"/>
    <w:rsid w:val="007C6F5B"/>
    <w:rsid w:val="007D356D"/>
    <w:rsid w:val="007D392F"/>
    <w:rsid w:val="007D69B9"/>
    <w:rsid w:val="007D76A6"/>
    <w:rsid w:val="007E56A5"/>
    <w:rsid w:val="007E5D39"/>
    <w:rsid w:val="007E67BD"/>
    <w:rsid w:val="007F6EA5"/>
    <w:rsid w:val="00800910"/>
    <w:rsid w:val="00800C28"/>
    <w:rsid w:val="00800E63"/>
    <w:rsid w:val="008018EB"/>
    <w:rsid w:val="0080281E"/>
    <w:rsid w:val="008034C9"/>
    <w:rsid w:val="00804BAB"/>
    <w:rsid w:val="00806319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470"/>
    <w:rsid w:val="008258E0"/>
    <w:rsid w:val="00830EE4"/>
    <w:rsid w:val="0083228D"/>
    <w:rsid w:val="008326C1"/>
    <w:rsid w:val="00832C72"/>
    <w:rsid w:val="00832C9A"/>
    <w:rsid w:val="0083551F"/>
    <w:rsid w:val="008362B2"/>
    <w:rsid w:val="0083729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54FE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1EA6"/>
    <w:rsid w:val="008824F5"/>
    <w:rsid w:val="00883E2A"/>
    <w:rsid w:val="00884758"/>
    <w:rsid w:val="008868A4"/>
    <w:rsid w:val="00887393"/>
    <w:rsid w:val="008927A9"/>
    <w:rsid w:val="00894623"/>
    <w:rsid w:val="008A29FF"/>
    <w:rsid w:val="008A3BC1"/>
    <w:rsid w:val="008A4FA7"/>
    <w:rsid w:val="008A5F66"/>
    <w:rsid w:val="008B0899"/>
    <w:rsid w:val="008B1C0B"/>
    <w:rsid w:val="008B32E4"/>
    <w:rsid w:val="008B360A"/>
    <w:rsid w:val="008B55CB"/>
    <w:rsid w:val="008B6C09"/>
    <w:rsid w:val="008C233A"/>
    <w:rsid w:val="008C3C62"/>
    <w:rsid w:val="008C546C"/>
    <w:rsid w:val="008C5B2B"/>
    <w:rsid w:val="008D11A3"/>
    <w:rsid w:val="008D2205"/>
    <w:rsid w:val="008D3723"/>
    <w:rsid w:val="008D489D"/>
    <w:rsid w:val="008D7A76"/>
    <w:rsid w:val="008E03A3"/>
    <w:rsid w:val="008E05A2"/>
    <w:rsid w:val="008E1975"/>
    <w:rsid w:val="008E3795"/>
    <w:rsid w:val="008E50BA"/>
    <w:rsid w:val="008E5B8C"/>
    <w:rsid w:val="008E6351"/>
    <w:rsid w:val="008F0C6F"/>
    <w:rsid w:val="008F4D84"/>
    <w:rsid w:val="008F4E00"/>
    <w:rsid w:val="008F57BB"/>
    <w:rsid w:val="008F7DA4"/>
    <w:rsid w:val="00902FEA"/>
    <w:rsid w:val="009031E2"/>
    <w:rsid w:val="009036EE"/>
    <w:rsid w:val="0090415A"/>
    <w:rsid w:val="00904C6C"/>
    <w:rsid w:val="00904C8E"/>
    <w:rsid w:val="009057C8"/>
    <w:rsid w:val="00907984"/>
    <w:rsid w:val="00907BF0"/>
    <w:rsid w:val="00907C8A"/>
    <w:rsid w:val="00907CCA"/>
    <w:rsid w:val="00907E7B"/>
    <w:rsid w:val="009100C2"/>
    <w:rsid w:val="0091020F"/>
    <w:rsid w:val="00910B73"/>
    <w:rsid w:val="00911D18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7333"/>
    <w:rsid w:val="009506E4"/>
    <w:rsid w:val="00952D5C"/>
    <w:rsid w:val="00953291"/>
    <w:rsid w:val="00953C1F"/>
    <w:rsid w:val="00954C5F"/>
    <w:rsid w:val="0095598A"/>
    <w:rsid w:val="0095765D"/>
    <w:rsid w:val="009578FC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2606"/>
    <w:rsid w:val="009A5043"/>
    <w:rsid w:val="009A5A6F"/>
    <w:rsid w:val="009A70AF"/>
    <w:rsid w:val="009B004C"/>
    <w:rsid w:val="009B36D4"/>
    <w:rsid w:val="009B3A14"/>
    <w:rsid w:val="009B406A"/>
    <w:rsid w:val="009B5357"/>
    <w:rsid w:val="009B64C4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4A9C"/>
    <w:rsid w:val="009E70C6"/>
    <w:rsid w:val="009E7476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3C4D"/>
    <w:rsid w:val="00A0572E"/>
    <w:rsid w:val="00A063DE"/>
    <w:rsid w:val="00A07C4D"/>
    <w:rsid w:val="00A1097E"/>
    <w:rsid w:val="00A11082"/>
    <w:rsid w:val="00A120AA"/>
    <w:rsid w:val="00A129F5"/>
    <w:rsid w:val="00A16754"/>
    <w:rsid w:val="00A17558"/>
    <w:rsid w:val="00A177ED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6731F"/>
    <w:rsid w:val="00A701CA"/>
    <w:rsid w:val="00A70EAE"/>
    <w:rsid w:val="00A7124A"/>
    <w:rsid w:val="00A74E45"/>
    <w:rsid w:val="00A75E11"/>
    <w:rsid w:val="00A7603A"/>
    <w:rsid w:val="00A77FDE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C34"/>
    <w:rsid w:val="00A9451A"/>
    <w:rsid w:val="00A95AD0"/>
    <w:rsid w:val="00A95C2C"/>
    <w:rsid w:val="00A97548"/>
    <w:rsid w:val="00A9761F"/>
    <w:rsid w:val="00A9794D"/>
    <w:rsid w:val="00A97A94"/>
    <w:rsid w:val="00AA1894"/>
    <w:rsid w:val="00AA1C20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3636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7CB3"/>
    <w:rsid w:val="00B03548"/>
    <w:rsid w:val="00B04587"/>
    <w:rsid w:val="00B05907"/>
    <w:rsid w:val="00B06994"/>
    <w:rsid w:val="00B069B9"/>
    <w:rsid w:val="00B06D21"/>
    <w:rsid w:val="00B075E4"/>
    <w:rsid w:val="00B11CE2"/>
    <w:rsid w:val="00B16414"/>
    <w:rsid w:val="00B20A62"/>
    <w:rsid w:val="00B20D05"/>
    <w:rsid w:val="00B23100"/>
    <w:rsid w:val="00B23E76"/>
    <w:rsid w:val="00B255BB"/>
    <w:rsid w:val="00B25EBE"/>
    <w:rsid w:val="00B25F9C"/>
    <w:rsid w:val="00B2600D"/>
    <w:rsid w:val="00B260B7"/>
    <w:rsid w:val="00B26A25"/>
    <w:rsid w:val="00B27BD1"/>
    <w:rsid w:val="00B27F46"/>
    <w:rsid w:val="00B3198A"/>
    <w:rsid w:val="00B33642"/>
    <w:rsid w:val="00B35D03"/>
    <w:rsid w:val="00B360B2"/>
    <w:rsid w:val="00B36C9C"/>
    <w:rsid w:val="00B4182A"/>
    <w:rsid w:val="00B42722"/>
    <w:rsid w:val="00B44A82"/>
    <w:rsid w:val="00B44D4A"/>
    <w:rsid w:val="00B4587A"/>
    <w:rsid w:val="00B45B35"/>
    <w:rsid w:val="00B45DAB"/>
    <w:rsid w:val="00B46FB2"/>
    <w:rsid w:val="00B4709D"/>
    <w:rsid w:val="00B47992"/>
    <w:rsid w:val="00B5188B"/>
    <w:rsid w:val="00B51EA3"/>
    <w:rsid w:val="00B52649"/>
    <w:rsid w:val="00B53261"/>
    <w:rsid w:val="00B5390B"/>
    <w:rsid w:val="00B5602D"/>
    <w:rsid w:val="00B57088"/>
    <w:rsid w:val="00B62616"/>
    <w:rsid w:val="00B62E3E"/>
    <w:rsid w:val="00B6392F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533"/>
    <w:rsid w:val="00B83B73"/>
    <w:rsid w:val="00B850E9"/>
    <w:rsid w:val="00B87A83"/>
    <w:rsid w:val="00B91043"/>
    <w:rsid w:val="00B91FAB"/>
    <w:rsid w:val="00B9400A"/>
    <w:rsid w:val="00B9518A"/>
    <w:rsid w:val="00B97C19"/>
    <w:rsid w:val="00BA0170"/>
    <w:rsid w:val="00BA01CF"/>
    <w:rsid w:val="00BA1750"/>
    <w:rsid w:val="00BA1E9D"/>
    <w:rsid w:val="00BA24C0"/>
    <w:rsid w:val="00BA462B"/>
    <w:rsid w:val="00BA47C6"/>
    <w:rsid w:val="00BA61C1"/>
    <w:rsid w:val="00BA62C8"/>
    <w:rsid w:val="00BA6FA9"/>
    <w:rsid w:val="00BA7BD3"/>
    <w:rsid w:val="00BA7E35"/>
    <w:rsid w:val="00BB07EA"/>
    <w:rsid w:val="00BB1415"/>
    <w:rsid w:val="00BB230E"/>
    <w:rsid w:val="00BB2908"/>
    <w:rsid w:val="00BB2A92"/>
    <w:rsid w:val="00BB5192"/>
    <w:rsid w:val="00BB75D3"/>
    <w:rsid w:val="00BC2B3A"/>
    <w:rsid w:val="00BC2E95"/>
    <w:rsid w:val="00BC47E4"/>
    <w:rsid w:val="00BC590B"/>
    <w:rsid w:val="00BC5A13"/>
    <w:rsid w:val="00BD1480"/>
    <w:rsid w:val="00BD1669"/>
    <w:rsid w:val="00BD1A62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ABE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DC"/>
    <w:rsid w:val="00C402F4"/>
    <w:rsid w:val="00C438D6"/>
    <w:rsid w:val="00C47CB0"/>
    <w:rsid w:val="00C5195F"/>
    <w:rsid w:val="00C52415"/>
    <w:rsid w:val="00C537A6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734"/>
    <w:rsid w:val="00C708BF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495C"/>
    <w:rsid w:val="00CB67D7"/>
    <w:rsid w:val="00CC02E3"/>
    <w:rsid w:val="00CC7ABF"/>
    <w:rsid w:val="00CD15BD"/>
    <w:rsid w:val="00CD1FF7"/>
    <w:rsid w:val="00CD43F5"/>
    <w:rsid w:val="00CD6C59"/>
    <w:rsid w:val="00CD6D62"/>
    <w:rsid w:val="00CD6F56"/>
    <w:rsid w:val="00CE0966"/>
    <w:rsid w:val="00CE15E0"/>
    <w:rsid w:val="00CE3D40"/>
    <w:rsid w:val="00CE5B0C"/>
    <w:rsid w:val="00CE71FF"/>
    <w:rsid w:val="00CE7910"/>
    <w:rsid w:val="00CE7DEB"/>
    <w:rsid w:val="00CF103F"/>
    <w:rsid w:val="00CF3C3C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734E"/>
    <w:rsid w:val="00D1119F"/>
    <w:rsid w:val="00D116D7"/>
    <w:rsid w:val="00D1230C"/>
    <w:rsid w:val="00D12B6C"/>
    <w:rsid w:val="00D1620E"/>
    <w:rsid w:val="00D20BC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CC2"/>
    <w:rsid w:val="00D828ED"/>
    <w:rsid w:val="00D82C98"/>
    <w:rsid w:val="00D85544"/>
    <w:rsid w:val="00D86A9D"/>
    <w:rsid w:val="00D87457"/>
    <w:rsid w:val="00D91191"/>
    <w:rsid w:val="00D9206C"/>
    <w:rsid w:val="00D9384B"/>
    <w:rsid w:val="00D93D23"/>
    <w:rsid w:val="00D93D8A"/>
    <w:rsid w:val="00D95353"/>
    <w:rsid w:val="00D96861"/>
    <w:rsid w:val="00D97D27"/>
    <w:rsid w:val="00DA0211"/>
    <w:rsid w:val="00DA1CE8"/>
    <w:rsid w:val="00DA39A8"/>
    <w:rsid w:val="00DA3F1F"/>
    <w:rsid w:val="00DA61A6"/>
    <w:rsid w:val="00DA6750"/>
    <w:rsid w:val="00DA7A31"/>
    <w:rsid w:val="00DB37F0"/>
    <w:rsid w:val="00DC07C6"/>
    <w:rsid w:val="00DC1B58"/>
    <w:rsid w:val="00DC37E6"/>
    <w:rsid w:val="00DC55E9"/>
    <w:rsid w:val="00DC6926"/>
    <w:rsid w:val="00DC744A"/>
    <w:rsid w:val="00DD05EF"/>
    <w:rsid w:val="00DD2241"/>
    <w:rsid w:val="00DD3043"/>
    <w:rsid w:val="00DD4F99"/>
    <w:rsid w:val="00DD5160"/>
    <w:rsid w:val="00DD7F99"/>
    <w:rsid w:val="00DE1AB8"/>
    <w:rsid w:val="00DE22A8"/>
    <w:rsid w:val="00DE69B3"/>
    <w:rsid w:val="00DF04C6"/>
    <w:rsid w:val="00DF1735"/>
    <w:rsid w:val="00DF38D0"/>
    <w:rsid w:val="00DF5222"/>
    <w:rsid w:val="00DF74C8"/>
    <w:rsid w:val="00E01B0F"/>
    <w:rsid w:val="00E02A52"/>
    <w:rsid w:val="00E037C3"/>
    <w:rsid w:val="00E0425D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52829"/>
    <w:rsid w:val="00E52BCF"/>
    <w:rsid w:val="00E53039"/>
    <w:rsid w:val="00E54E42"/>
    <w:rsid w:val="00E5635A"/>
    <w:rsid w:val="00E56774"/>
    <w:rsid w:val="00E604A0"/>
    <w:rsid w:val="00E6071C"/>
    <w:rsid w:val="00E61E68"/>
    <w:rsid w:val="00E6342C"/>
    <w:rsid w:val="00E63B74"/>
    <w:rsid w:val="00E6403F"/>
    <w:rsid w:val="00E64A26"/>
    <w:rsid w:val="00E66D09"/>
    <w:rsid w:val="00E70730"/>
    <w:rsid w:val="00E719EA"/>
    <w:rsid w:val="00E71CB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DDE"/>
    <w:rsid w:val="00EF53B5"/>
    <w:rsid w:val="00EF59B5"/>
    <w:rsid w:val="00EF5FFA"/>
    <w:rsid w:val="00F006DC"/>
    <w:rsid w:val="00F0339C"/>
    <w:rsid w:val="00F047F1"/>
    <w:rsid w:val="00F0777B"/>
    <w:rsid w:val="00F07DEC"/>
    <w:rsid w:val="00F12A06"/>
    <w:rsid w:val="00F13089"/>
    <w:rsid w:val="00F136E2"/>
    <w:rsid w:val="00F22538"/>
    <w:rsid w:val="00F22895"/>
    <w:rsid w:val="00F22951"/>
    <w:rsid w:val="00F22DE9"/>
    <w:rsid w:val="00F2367C"/>
    <w:rsid w:val="00F242FC"/>
    <w:rsid w:val="00F265B0"/>
    <w:rsid w:val="00F270AE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A73"/>
    <w:rsid w:val="00F56AC5"/>
    <w:rsid w:val="00F57D96"/>
    <w:rsid w:val="00F57E03"/>
    <w:rsid w:val="00F62C79"/>
    <w:rsid w:val="00F64C8F"/>
    <w:rsid w:val="00F6507B"/>
    <w:rsid w:val="00F65298"/>
    <w:rsid w:val="00F65AE0"/>
    <w:rsid w:val="00F65DF3"/>
    <w:rsid w:val="00F668D2"/>
    <w:rsid w:val="00F719D3"/>
    <w:rsid w:val="00F72CF1"/>
    <w:rsid w:val="00F74A11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44BF"/>
    <w:rsid w:val="00FC6E3D"/>
    <w:rsid w:val="00FC78B3"/>
    <w:rsid w:val="00FC7F8A"/>
    <w:rsid w:val="00FD2E59"/>
    <w:rsid w:val="00FD3B3D"/>
    <w:rsid w:val="00FD454F"/>
    <w:rsid w:val="00FD71D4"/>
    <w:rsid w:val="00FD79F4"/>
    <w:rsid w:val="00FD7BF6"/>
    <w:rsid w:val="00FD7E67"/>
    <w:rsid w:val="00FE1D22"/>
    <w:rsid w:val="00FE53BB"/>
    <w:rsid w:val="00FE7742"/>
    <w:rsid w:val="00FF1494"/>
    <w:rsid w:val="00FF1D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5669FB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95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2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096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39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4704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17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4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21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214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DE56869-54CB-4C09-AC84-AE8C64289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4613</TotalTime>
  <Pages>3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56</cp:revision>
  <cp:lastPrinted>2003-09-26T18:29:00Z</cp:lastPrinted>
  <dcterms:created xsi:type="dcterms:W3CDTF">2017-11-28T23:11:00Z</dcterms:created>
  <dcterms:modified xsi:type="dcterms:W3CDTF">2018-06-04T20:31:00Z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